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1CCC" w:rsidR="0077359F" w:rsidRDefault="001A1CCC" w14:paraId="5994B2EB" w14:textId="4636D404">
      <w:pPr>
        <w:rPr>
          <w:b/>
          <w:bCs/>
          <w:u w:val="single"/>
        </w:rPr>
      </w:pPr>
      <w:r w:rsidRPr="001A1CCC">
        <w:rPr>
          <w:b/>
          <w:bCs/>
          <w:u w:val="single"/>
        </w:rPr>
        <w:t>Adding / Amending your Opening Balances on SBS</w:t>
      </w:r>
    </w:p>
    <w:p w:rsidR="001A1CCC" w:rsidP="001A1CCC" w:rsidRDefault="001A1CCC" w14:paraId="0E034126" w14:textId="77777777">
      <w:pPr>
        <w:spacing w:after="0"/>
      </w:pPr>
      <w:r>
        <w:t>Always ensure you are in the SBS budget profile you wish to amend – as per the details in the top right-hand corner.</w:t>
      </w:r>
    </w:p>
    <w:p w:rsidR="001A1CCC" w:rsidRDefault="001A1CCC" w14:paraId="4B22B840" w14:textId="77777777"/>
    <w:p w:rsidR="001A1CCC" w:rsidRDefault="001A1CCC" w14:paraId="7B320E5C" w14:textId="171917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4B770BB" wp14:anchorId="389E3178">
                <wp:simplePos x="0" y="0"/>
                <wp:positionH relativeFrom="column">
                  <wp:posOffset>4273825</wp:posOffset>
                </wp:positionH>
                <wp:positionV relativeFrom="paragraph">
                  <wp:posOffset>98480</wp:posOffset>
                </wp:positionV>
                <wp:extent cx="1335819" cy="278296"/>
                <wp:effectExtent l="0" t="57150" r="0" b="26670"/>
                <wp:wrapNone/>
                <wp:docPr id="4997143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5819" cy="278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7980DC72">
                <v:path fillok="f" arrowok="t" o:connecttype="none"/>
                <o:lock v:ext="edit" shapetype="t"/>
              </v:shapetype>
              <v:shape id="Straight Arrow Connector 1" style="position:absolute;margin-left:336.5pt;margin-top:7.75pt;width:105.2pt;height:21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">
                <v:stroke joinstyle="miter" endarrow="block"/>
              </v:shape>
            </w:pict>
          </mc:Fallback>
        </mc:AlternateContent>
      </w:r>
      <w:r w:rsidRPr="001A1CCC">
        <w:rPr>
          <w:noProof/>
        </w:rPr>
        <w:drawing>
          <wp:inline distT="0" distB="0" distL="0" distR="0" wp14:anchorId="2EEAD254" wp14:editId="06AF6A7A">
            <wp:extent cx="5731510" cy="164465"/>
            <wp:effectExtent l="0" t="0" r="2540" b="6985"/>
            <wp:docPr id="658378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783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CC" w:rsidRDefault="001A1CCC" w14:paraId="65E2DA42" w14:textId="4FD3BDD8">
      <w:r>
        <w:t>To change this, you should click on the drop down to the right of the field.</w:t>
      </w:r>
    </w:p>
    <w:p w:rsidR="001A1CCC" w:rsidRDefault="001A1CCC" w14:paraId="612333DC" w14:textId="77777777"/>
    <w:p w:rsidR="001A1CCC" w:rsidRDefault="001A1CCC" w14:paraId="45AD3779" w14:textId="2CE19F0F">
      <w:r>
        <w:t>Now go to Budgeting&gt;Overview&gt;Opening Balances. It will show figures in the value field per the budget that was copied (duplicated) to set up your budget</w:t>
      </w:r>
      <w:r w:rsidR="004B4C62">
        <w:t>, this will be incorrect at the start of the financial year until you amend it</w:t>
      </w:r>
      <w:r>
        <w:t>:</w:t>
      </w:r>
    </w:p>
    <w:p w:rsidR="001A1CCC" w:rsidRDefault="001A1CCC" w14:paraId="6B6CC437" w14:textId="15733B38">
      <w:r w:rsidRPr="001A1CCC">
        <w:rPr>
          <w:noProof/>
        </w:rPr>
        <w:drawing>
          <wp:inline distT="0" distB="0" distL="0" distR="0" wp14:anchorId="00B39F8D" wp14:editId="6E728C17">
            <wp:extent cx="6645910" cy="1243965"/>
            <wp:effectExtent l="0" t="0" r="2540" b="0"/>
            <wp:docPr id="1420325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256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CC" w:rsidRDefault="001A1CCC" w14:paraId="33DD5C87" w14:textId="4E51572B">
      <w:r>
        <w:t>Th</w:t>
      </w:r>
      <w:r w:rsidR="004B4C62">
        <w:t>is screen</w:t>
      </w:r>
      <w:r>
        <w:t xml:space="preserve"> should reflect your current/ latest carry forwards</w:t>
      </w:r>
      <w:r w:rsidR="004B4C62">
        <w:t xml:space="preserve"> for each fund.</w:t>
      </w:r>
    </w:p>
    <w:p w:rsidR="004B4C62" w:rsidRDefault="004B4C62" w14:paraId="411BFCE5" w14:textId="2A63EE4C">
      <w:r>
        <w:t>W.E.F 1.4.26 you should show a row for each fund.</w:t>
      </w:r>
    </w:p>
    <w:p w:rsidR="001A1CCC" w:rsidRDefault="001A1CCC" w14:paraId="41B985B6" w14:textId="15BDAA86">
      <w:r>
        <w:t>Your schools 26/27 budget</w:t>
      </w:r>
      <w:r w:rsidR="004B4C62">
        <w:t xml:space="preserve"> opening balances screen</w:t>
      </w:r>
      <w:r>
        <w:t xml:space="preserve"> should reflect your SSCT approved final 25/26 fund balances, fed back to your</w:t>
      </w:r>
      <w:r w:rsidR="004B4C62">
        <w:t xml:space="preserve"> school</w:t>
      </w:r>
      <w:r>
        <w:t xml:space="preserve"> at year end following your final 25/26 YE SMER review.</w:t>
      </w:r>
    </w:p>
    <w:p w:rsidR="001A1CCC" w:rsidRDefault="001A1CCC" w14:paraId="4470EAC0" w14:textId="77777777"/>
    <w:p w:rsidR="004B4C62" w:rsidRDefault="001A1CCC" w14:paraId="360BFD60" w14:textId="10B9EFEC">
      <w:r>
        <w:t xml:space="preserve">To amend the opening balances </w:t>
      </w:r>
      <w:r w:rsidR="004B4C62">
        <w:t>the budget</w:t>
      </w:r>
      <w:r>
        <w:t xml:space="preserve"> currently shows, please click on the value amount</w:t>
      </w:r>
      <w:r w:rsidR="004B4C62">
        <w:t>:</w:t>
      </w:r>
    </w:p>
    <w:p w:rsidR="004B4C62" w:rsidRDefault="004B4C62" w14:paraId="082DF16D" w14:textId="11C33DE9">
      <w:r w:rsidRPr="001A1CCC">
        <w:rPr>
          <w:noProof/>
        </w:rPr>
        <w:drawing>
          <wp:inline distT="0" distB="0" distL="0" distR="0" wp14:anchorId="0A2ACB9F" wp14:editId="6BC1B38A">
            <wp:extent cx="6645910" cy="1243965"/>
            <wp:effectExtent l="0" t="0" r="2540" b="0"/>
            <wp:docPr id="601791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256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CC" w:rsidRDefault="001A1CCC" w14:paraId="561511BA" w14:textId="1B8102CB">
      <w:r>
        <w:t>and amend the figure, and also add details in these fields:</w:t>
      </w:r>
    </w:p>
    <w:p w:rsidR="001A1CCC" w:rsidRDefault="001A1CCC" w14:paraId="3487CF49" w14:textId="5C16460F">
      <w:r w:rsidRPr="001A1CCC">
        <w:rPr>
          <w:noProof/>
        </w:rPr>
        <w:drawing>
          <wp:inline distT="0" distB="0" distL="0" distR="0" wp14:anchorId="5D8A9779" wp14:editId="28E1D79F">
            <wp:extent cx="3035456" cy="2349621"/>
            <wp:effectExtent l="0" t="0" r="0" b="0"/>
            <wp:docPr id="1140327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273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234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C62" w:rsidRDefault="004B4C62" w14:paraId="3543D8CE" w14:textId="221D8CDC">
      <w:r>
        <w:t>Then press save and close.</w:t>
      </w:r>
    </w:p>
    <w:p w:rsidR="001A1CCC" w:rsidRDefault="001A1CCC" w14:paraId="42C18184" w14:textId="2AF327B6">
      <w:r>
        <w:lastRenderedPageBreak/>
        <w:t xml:space="preserve">Please do this for all funds. </w:t>
      </w:r>
    </w:p>
    <w:p w:rsidR="004B4C62" w:rsidRDefault="004B4C62" w14:paraId="599FD956" w14:textId="51B7FDE6">
      <w:r>
        <w:t>All funds should be shown in the opening balances screen.</w:t>
      </w:r>
    </w:p>
    <w:p w:rsidR="004B4C62" w:rsidRDefault="004B4C62" w14:paraId="454312D6" w14:textId="77777777"/>
    <w:p w:rsidR="004B4C62" w:rsidRDefault="004B4C62" w14:paraId="480D6EBB" w14:textId="2D6C0BEC">
      <w:r>
        <w:t>To add a new row please click on the add button:</w:t>
      </w:r>
    </w:p>
    <w:p w:rsidR="004B4C62" w:rsidRDefault="004B4C62" w14:paraId="456B8698" w14:textId="6A2A77AF">
      <w:r w:rsidRPr="004B4C62">
        <w:rPr>
          <w:noProof/>
        </w:rPr>
        <w:drawing>
          <wp:inline distT="0" distB="0" distL="0" distR="0" wp14:anchorId="7A3E5FA5" wp14:editId="65807841">
            <wp:extent cx="6645910" cy="504825"/>
            <wp:effectExtent l="0" t="0" r="2540" b="9525"/>
            <wp:docPr id="1003516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16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CC" w:rsidRDefault="004B4C62" w14:paraId="24E4DDD1" w14:textId="75E4B417">
      <w:r>
        <w:t>Then complete the below fields:</w:t>
      </w:r>
    </w:p>
    <w:p w:rsidR="001A1CCC" w:rsidRDefault="001A1CCC" w14:paraId="421DF99A" w14:textId="4E336635">
      <w:r w:rsidRPr="001A1CCC">
        <w:rPr>
          <w:noProof/>
        </w:rPr>
        <w:drawing>
          <wp:inline distT="0" distB="0" distL="0" distR="0" wp14:anchorId="2CCF4EC7" wp14:editId="280DF565">
            <wp:extent cx="3162463" cy="5734345"/>
            <wp:effectExtent l="0" t="0" r="0" b="0"/>
            <wp:docPr id="1807284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840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463" cy="57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C62" w:rsidRDefault="004B4C62" w14:paraId="16F2D852" w14:textId="31628749">
      <w:r>
        <w:t>And when complete press Save and Close.</w:t>
      </w:r>
    </w:p>
    <w:sectPr w:rsidR="004B4C62" w:rsidSect="001A1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CC"/>
    <w:rsid w:val="001A1CCC"/>
    <w:rsid w:val="003856F6"/>
    <w:rsid w:val="004B4C62"/>
    <w:rsid w:val="0069427E"/>
    <w:rsid w:val="0077359F"/>
    <w:rsid w:val="00F27264"/>
    <w:rsid w:val="00F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4ACE"/>
  <w15:chartTrackingRefBased/>
  <w15:docId w15:val="{B67634DC-BA5E-4C50-90DD-3BACE9C1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/>
    <Period xmlns="09b21f7a-5c23-465e-9456-167c464d9d38" xsi:nil="true"/>
    <Document xmlns="09b21f7a-5c23-465e-9456-167c464d9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6fa1acf55f472e96d4b29642156d9af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7c8d8024c06fc66996d610a21c7ae44b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1744D-7C11-43AF-A45B-9F2E66010448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09b21f7a-5c23-465e-9456-167c464d9d38"/>
    <ds:schemaRef ds:uri="http://schemas.openxmlformats.org/package/2006/metadata/core-properties"/>
    <ds:schemaRef ds:uri="http://schemas.microsoft.com/office/2006/metadata/properties"/>
    <ds:schemaRef ds:uri="914b8805-347d-4649-b025-7bc68f6e747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39E371-1528-4830-98E7-1A026EAB2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F4E2-C688-4A0B-B2D6-D9EF2675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&amp; Amending your Opening Balances on SBS</dc:title>
  <dc:subject>
  </dc:subject>
  <dc:creator>Sam Walker</dc:creator>
  <cp:keywords>
  </cp:keywords>
  <dc:description>
  </dc:description>
  <cp:lastModifiedBy>Sam Walker</cp:lastModifiedBy>
  <cp:revision>2</cp:revision>
  <dcterms:created xsi:type="dcterms:W3CDTF">2026-04-23T09:34:00Z</dcterms:created>
  <dcterms:modified xsi:type="dcterms:W3CDTF">2026-04-23T09:34:59Z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</Properties>
</file>