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29B" w:rsidP="006E529B" w:rsidRDefault="006E529B" w14:paraId="4BD6A2B5" w14:textId="029D5C5A">
      <w:pPr>
        <w:spacing w:before="77"/>
        <w:ind w:right="514"/>
        <w:jc w:val="right"/>
        <w:rPr>
          <w:b/>
          <w:sz w:val="24"/>
        </w:rPr>
      </w:pPr>
      <w:r w:rsidRPr="00450773">
        <w:rPr>
          <w:b/>
          <w:sz w:val="24"/>
          <w:u w:val="thick"/>
        </w:rPr>
        <w:t xml:space="preserve">Agenda Item No: </w:t>
      </w:r>
      <w:r w:rsidR="003E72D7">
        <w:rPr>
          <w:b/>
          <w:sz w:val="24"/>
          <w:u w:val="thick"/>
        </w:rPr>
        <w:t>5</w:t>
      </w:r>
    </w:p>
    <w:p w:rsidR="006E529B" w:rsidP="006E529B" w:rsidRDefault="006E529B" w14:paraId="042CE3B5" w14:textId="77777777">
      <w:pPr>
        <w:pStyle w:val="BodyText"/>
        <w:rPr>
          <w:b/>
        </w:rPr>
      </w:pPr>
    </w:p>
    <w:p w:rsidR="006E529B" w:rsidP="006E4FB3" w:rsidRDefault="003E72D7" w14:paraId="49284416" w14:textId="3ED7BB9E">
      <w:pPr>
        <w:pStyle w:val="BodyText"/>
        <w:spacing w:before="10"/>
        <w:ind w:left="-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GROWTH FUND</w:t>
      </w:r>
    </w:p>
    <w:p w:rsidR="006E529B" w:rsidP="006E4FB3" w:rsidRDefault="006E529B" w14:paraId="28C8D5B6" w14:textId="77777777">
      <w:pPr>
        <w:pStyle w:val="BodyText"/>
        <w:spacing w:before="10"/>
        <w:ind w:left="-426"/>
        <w:rPr>
          <w:b/>
          <w:sz w:val="23"/>
        </w:rPr>
      </w:pPr>
    </w:p>
    <w:p w:rsidR="006E529B" w:rsidP="006E4FB3" w:rsidRDefault="006E529B" w14:paraId="3BBB792A" w14:textId="77777777">
      <w:pPr>
        <w:pStyle w:val="BodyText"/>
        <w:tabs>
          <w:tab w:val="left" w:pos="1408"/>
        </w:tabs>
        <w:ind w:left="-426"/>
      </w:pPr>
      <w:r>
        <w:t>To:</w:t>
      </w:r>
      <w:r>
        <w:tab/>
        <w:t>Peterborough Schools’</w:t>
      </w:r>
      <w:r>
        <w:rPr>
          <w:spacing w:val="-9"/>
        </w:rPr>
        <w:t xml:space="preserve"> </w:t>
      </w:r>
      <w:r>
        <w:t>Forum</w:t>
      </w:r>
    </w:p>
    <w:p w:rsidR="006E529B" w:rsidP="006E4FB3" w:rsidRDefault="006E529B" w14:paraId="22241621" w14:textId="77777777">
      <w:pPr>
        <w:pStyle w:val="BodyText"/>
        <w:spacing w:before="6"/>
        <w:ind w:left="-426"/>
        <w:rPr>
          <w:sz w:val="23"/>
        </w:rPr>
      </w:pPr>
    </w:p>
    <w:p w:rsidR="006E529B" w:rsidP="006E4FB3" w:rsidRDefault="006E529B" w14:paraId="5D71A99B" w14:textId="2A69A40C">
      <w:pPr>
        <w:pStyle w:val="BodyText"/>
        <w:tabs>
          <w:tab w:val="left" w:pos="1408"/>
        </w:tabs>
        <w:ind w:left="-426"/>
      </w:pPr>
      <w:r>
        <w:t>Date:</w:t>
      </w:r>
      <w:r>
        <w:tab/>
      </w:r>
      <w:r w:rsidR="00450773">
        <w:t>13</w:t>
      </w:r>
      <w:r w:rsidRPr="00450773" w:rsidR="00450773">
        <w:rPr>
          <w:vertAlign w:val="superscript"/>
        </w:rPr>
        <w:t>th</w:t>
      </w:r>
      <w:r w:rsidR="00450773">
        <w:t xml:space="preserve"> July 2022</w:t>
      </w:r>
    </w:p>
    <w:p w:rsidR="006E529B" w:rsidP="006E4FB3" w:rsidRDefault="006E529B" w14:paraId="6C84934C" w14:textId="77777777">
      <w:pPr>
        <w:pStyle w:val="BodyText"/>
        <w:spacing w:before="10"/>
        <w:ind w:left="-426"/>
        <w:rPr>
          <w:sz w:val="23"/>
        </w:rPr>
      </w:pPr>
    </w:p>
    <w:p w:rsidR="006E529B" w:rsidP="006E4FB3" w:rsidRDefault="006E529B" w14:paraId="3513AB58" w14:textId="1A05CE9D">
      <w:pPr>
        <w:pStyle w:val="BodyText"/>
        <w:tabs>
          <w:tab w:val="left" w:pos="1408"/>
        </w:tabs>
        <w:spacing w:before="1"/>
        <w:ind w:left="-426"/>
      </w:pPr>
      <w:r>
        <w:t>From:</w:t>
      </w:r>
      <w:r>
        <w:tab/>
        <w:t>Jonathan Lewis – Director of Education</w:t>
      </w:r>
    </w:p>
    <w:p w:rsidR="000D11FA" w:rsidP="006E4FB3" w:rsidRDefault="000D11FA" w14:paraId="6BD4166E" w14:textId="77777777">
      <w:pPr>
        <w:pStyle w:val="BodyText"/>
        <w:tabs>
          <w:tab w:val="left" w:pos="1408"/>
        </w:tabs>
        <w:spacing w:before="1"/>
        <w:ind w:left="-426"/>
      </w:pPr>
    </w:p>
    <w:p w:rsidR="006E529B" w:rsidP="006E4FB3" w:rsidRDefault="006E529B" w14:paraId="4EA115A0" w14:textId="77777777">
      <w:pPr>
        <w:pStyle w:val="BodyText"/>
        <w:spacing w:before="4"/>
        <w:ind w:left="-426"/>
      </w:pPr>
    </w:p>
    <w:tbl>
      <w:tblPr>
        <w:tblW w:w="10425" w:type="dxa"/>
        <w:tblInd w:w="-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9878"/>
      </w:tblGrid>
      <w:tr w:rsidRPr="00A70107" w:rsidR="006E529B" w:rsidTr="0042235B" w14:paraId="51818BBC" w14:textId="77777777">
        <w:trPr>
          <w:trHeight w:val="260"/>
        </w:trPr>
        <w:tc>
          <w:tcPr>
            <w:tcW w:w="547" w:type="dxa"/>
          </w:tcPr>
          <w:p w:rsidRPr="00A70107" w:rsidR="006E529B" w:rsidP="000D11FA" w:rsidRDefault="006E529B" w14:paraId="14C77FFB" w14:textId="77777777">
            <w:pPr>
              <w:pStyle w:val="TableParagraph"/>
              <w:spacing w:before="0" w:line="256" w:lineRule="exact"/>
              <w:jc w:val="left"/>
              <w:rPr>
                <w:b/>
                <w:sz w:val="24"/>
                <w:szCs w:val="24"/>
              </w:rPr>
            </w:pPr>
            <w:r w:rsidRPr="00A70107">
              <w:rPr>
                <w:b/>
                <w:sz w:val="24"/>
                <w:szCs w:val="24"/>
              </w:rPr>
              <w:t>1.0</w:t>
            </w:r>
          </w:p>
        </w:tc>
        <w:tc>
          <w:tcPr>
            <w:tcW w:w="9878" w:type="dxa"/>
          </w:tcPr>
          <w:p w:rsidRPr="00A70107" w:rsidR="006E529B" w:rsidP="005A1E28" w:rsidRDefault="002C7CC8" w14:paraId="44858664" w14:textId="3B709B3D">
            <w:pPr>
              <w:pStyle w:val="TableParagraph"/>
              <w:spacing w:before="0" w:line="256" w:lineRule="exact"/>
              <w:ind w:left="1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Introduction</w:t>
            </w:r>
          </w:p>
        </w:tc>
      </w:tr>
      <w:tr w:rsidRPr="00A70107" w:rsidR="006E529B" w:rsidTr="0042235B" w14:paraId="5D830D11" w14:textId="77777777">
        <w:trPr>
          <w:trHeight w:val="260"/>
        </w:trPr>
        <w:tc>
          <w:tcPr>
            <w:tcW w:w="547" w:type="dxa"/>
          </w:tcPr>
          <w:p w:rsidRPr="00A70107" w:rsidR="006E529B" w:rsidP="00A25435" w:rsidRDefault="006E529B" w14:paraId="71DA8A3A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878" w:type="dxa"/>
          </w:tcPr>
          <w:p w:rsidRPr="00A70107" w:rsidR="006E529B" w:rsidP="005A1E28" w:rsidRDefault="006E529B" w14:paraId="67F5D897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Pr="00A70107" w:rsidR="006E529B" w:rsidTr="0042235B" w14:paraId="60FB5073" w14:textId="77777777">
        <w:trPr>
          <w:trHeight w:val="260"/>
        </w:trPr>
        <w:tc>
          <w:tcPr>
            <w:tcW w:w="547" w:type="dxa"/>
          </w:tcPr>
          <w:p w:rsidRPr="00A70107" w:rsidR="006E529B" w:rsidP="00A25435" w:rsidRDefault="006E529B" w14:paraId="07993AD1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 w:rsidRPr="00A70107">
              <w:rPr>
                <w:sz w:val="24"/>
                <w:szCs w:val="24"/>
              </w:rPr>
              <w:t>1.1</w:t>
            </w:r>
          </w:p>
        </w:tc>
        <w:tc>
          <w:tcPr>
            <w:tcW w:w="9878" w:type="dxa"/>
          </w:tcPr>
          <w:p w:rsidRPr="00A70107" w:rsidR="006E529B" w:rsidP="008A4E97" w:rsidRDefault="003E72D7" w14:paraId="1C721E26" w14:textId="018575CB">
            <w:pPr>
              <w:pStyle w:val="TableParagraph"/>
              <w:tabs>
                <w:tab w:val="left" w:pos="16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paper provides an update of the allocation of the growth fund following Schools Forum approval of the growth criteria and centrally retained amount in January’s forum</w:t>
            </w:r>
          </w:p>
        </w:tc>
      </w:tr>
      <w:tr w:rsidRPr="00A70107" w:rsidR="006E529B" w:rsidTr="0042235B" w14:paraId="5DCF91FF" w14:textId="77777777">
        <w:trPr>
          <w:trHeight w:val="260"/>
        </w:trPr>
        <w:tc>
          <w:tcPr>
            <w:tcW w:w="547" w:type="dxa"/>
          </w:tcPr>
          <w:p w:rsidRPr="00A70107" w:rsidR="006E529B" w:rsidP="00A25435" w:rsidRDefault="006E529B" w14:paraId="244A31E8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878" w:type="dxa"/>
          </w:tcPr>
          <w:p w:rsidRPr="00A70107" w:rsidR="006E529B" w:rsidP="005A1E28" w:rsidRDefault="006E529B" w14:paraId="4D695ADC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Pr="00A70107" w:rsidR="008A4E97" w:rsidTr="0042235B" w14:paraId="56A9A3D9" w14:textId="77777777">
        <w:trPr>
          <w:trHeight w:val="260"/>
        </w:trPr>
        <w:tc>
          <w:tcPr>
            <w:tcW w:w="547" w:type="dxa"/>
          </w:tcPr>
          <w:p w:rsidRPr="00A70107" w:rsidR="008A4E97" w:rsidP="00A25435" w:rsidRDefault="008A4E97" w14:paraId="6592B0B8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878" w:type="dxa"/>
          </w:tcPr>
          <w:p w:rsidRPr="00A70107" w:rsidR="008A4E97" w:rsidP="005A1E28" w:rsidRDefault="008A4E97" w14:paraId="479267EC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Pr="00A70107" w:rsidR="006E529B" w:rsidTr="0042235B" w14:paraId="29BA93EC" w14:textId="77777777">
        <w:trPr>
          <w:trHeight w:val="260"/>
        </w:trPr>
        <w:tc>
          <w:tcPr>
            <w:tcW w:w="547" w:type="dxa"/>
          </w:tcPr>
          <w:p w:rsidR="00577C1D" w:rsidP="00A25435" w:rsidRDefault="006E529B" w14:paraId="54F06F00" w14:textId="3153B60F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  <w:r w:rsidRPr="00A70107">
              <w:rPr>
                <w:b/>
                <w:sz w:val="24"/>
                <w:szCs w:val="24"/>
              </w:rPr>
              <w:t>2.0</w:t>
            </w:r>
          </w:p>
          <w:p w:rsidR="00577C1D" w:rsidP="00A25435" w:rsidRDefault="00577C1D" w14:paraId="737C35A3" w14:textId="7F22A665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</w:p>
          <w:p w:rsidRPr="00577C1D" w:rsidR="00577C1D" w:rsidP="00A25435" w:rsidRDefault="00577C1D" w14:paraId="6F567E61" w14:textId="7AC1B6DA">
            <w:pPr>
              <w:pStyle w:val="TableParagraph"/>
              <w:spacing w:before="0" w:line="258" w:lineRule="exact"/>
              <w:jc w:val="left"/>
              <w:rPr>
                <w:bCs/>
                <w:sz w:val="24"/>
                <w:szCs w:val="24"/>
              </w:rPr>
            </w:pPr>
            <w:r w:rsidRPr="00577C1D">
              <w:rPr>
                <w:bCs/>
                <w:sz w:val="24"/>
                <w:szCs w:val="24"/>
              </w:rPr>
              <w:t xml:space="preserve">2.1 </w:t>
            </w:r>
          </w:p>
          <w:p w:rsidR="00577C1D" w:rsidP="00A25435" w:rsidRDefault="00577C1D" w14:paraId="59A5B2D7" w14:textId="77777777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</w:p>
          <w:p w:rsidRPr="00A70107" w:rsidR="00577C1D" w:rsidP="00A25435" w:rsidRDefault="00577C1D" w14:paraId="44FF90E0" w14:textId="26DF2546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878" w:type="dxa"/>
          </w:tcPr>
          <w:p w:rsidR="005761DD" w:rsidP="00A25435" w:rsidRDefault="003E72D7" w14:paraId="44BBFD21" w14:textId="7805ED14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Growth allocations supporting anticipated growth for Autumn term 2022</w:t>
            </w:r>
          </w:p>
          <w:p w:rsidR="00577C1D" w:rsidP="00A25435" w:rsidRDefault="00577C1D" w14:paraId="1B8C3F25" w14:textId="2179D34B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</w:p>
          <w:p w:rsidR="00577C1D" w:rsidP="00577C1D" w:rsidRDefault="00391BC2" w14:paraId="6E5F261C" w14:textId="21669354">
            <w:pPr>
              <w:pStyle w:val="TableParagraph"/>
              <w:tabs>
                <w:tab w:val="left" w:pos="157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table below details the updated school/academy allocations </w:t>
            </w:r>
          </w:p>
          <w:p w:rsidR="00577C1D" w:rsidP="00A25435" w:rsidRDefault="004D2CAD" w14:paraId="05211B13" w14:textId="18FDB846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editId="4F530612" wp14:anchorId="478F7C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278130</wp:posOffset>
                  </wp:positionV>
                  <wp:extent cx="6272530" cy="1667510"/>
                  <wp:effectExtent l="0" t="0" r="0" b="8890"/>
                  <wp:wrapTight wrapText="bothSides">
                    <wp:wrapPolygon edited="0">
                      <wp:start x="0" y="0"/>
                      <wp:lineTo x="0" y="21468"/>
                      <wp:lineTo x="21517" y="21468"/>
                      <wp:lineTo x="2151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530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A70107" w:rsidR="004D2CAD" w:rsidP="00A25435" w:rsidRDefault="004D2CAD" w14:paraId="1B65C170" w14:textId="2AA8637F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</w:p>
        </w:tc>
      </w:tr>
      <w:tr w:rsidRPr="00A70107" w:rsidR="00E02467" w:rsidTr="0042235B" w14:paraId="2AA12AA8" w14:textId="77777777">
        <w:trPr>
          <w:trHeight w:val="260"/>
        </w:trPr>
        <w:tc>
          <w:tcPr>
            <w:tcW w:w="547" w:type="dxa"/>
          </w:tcPr>
          <w:p w:rsidR="00E02467" w:rsidP="00A25435" w:rsidRDefault="00E02467" w14:paraId="678283C7" w14:textId="77777777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</w:p>
          <w:p w:rsidRPr="00A70107" w:rsidR="00E02467" w:rsidP="00A25435" w:rsidRDefault="00E02467" w14:paraId="237A785B" w14:textId="03EE4966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878" w:type="dxa"/>
          </w:tcPr>
          <w:p w:rsidR="00E02467" w:rsidP="00A25435" w:rsidRDefault="00E02467" w14:paraId="2C67F14F" w14:textId="77777777">
            <w:pPr>
              <w:pStyle w:val="TableParagraph"/>
              <w:spacing w:before="0" w:line="258" w:lineRule="exact"/>
              <w:jc w:val="left"/>
              <w:rPr>
                <w:b/>
                <w:sz w:val="24"/>
                <w:szCs w:val="24"/>
              </w:rPr>
            </w:pPr>
          </w:p>
        </w:tc>
      </w:tr>
      <w:tr w:rsidRPr="00A70107" w:rsidR="006E529B" w:rsidTr="0042235B" w14:paraId="5474E50F" w14:textId="77777777">
        <w:trPr>
          <w:trHeight w:val="260"/>
        </w:trPr>
        <w:tc>
          <w:tcPr>
            <w:tcW w:w="547" w:type="dxa"/>
          </w:tcPr>
          <w:p w:rsidR="002C7CC8" w:rsidP="00A25435" w:rsidRDefault="002C7CC8" w14:paraId="48148EF8" w14:textId="77777777">
            <w:pPr>
              <w:pStyle w:val="TableParagraph"/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C7CC8">
              <w:rPr>
                <w:b/>
                <w:bCs/>
                <w:sz w:val="24"/>
                <w:szCs w:val="24"/>
              </w:rPr>
              <w:t>3.0</w:t>
            </w:r>
            <w:r w:rsidRPr="002C7CC8" w:rsidR="00F1773F">
              <w:rPr>
                <w:b/>
                <w:bCs/>
                <w:sz w:val="24"/>
                <w:szCs w:val="24"/>
              </w:rPr>
              <w:t xml:space="preserve"> </w:t>
            </w:r>
          </w:p>
          <w:p w:rsidR="002C7CC8" w:rsidP="00A25435" w:rsidRDefault="002C7CC8" w14:paraId="22D23473" w14:textId="77777777">
            <w:pPr>
              <w:pStyle w:val="TableParagraph"/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Pr="00577C1D" w:rsidR="006E529B" w:rsidP="00A25435" w:rsidRDefault="002C7CC8" w14:paraId="2ADA429B" w14:textId="70D21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 w:rsidRPr="00577C1D">
              <w:rPr>
                <w:sz w:val="24"/>
                <w:szCs w:val="24"/>
              </w:rPr>
              <w:t>3.1</w:t>
            </w:r>
            <w:r w:rsidRPr="00577C1D" w:rsidR="00F17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78" w:type="dxa"/>
          </w:tcPr>
          <w:p w:rsidR="002C7CC8" w:rsidP="007248F2" w:rsidRDefault="00E02467" w14:paraId="4F727CF9" w14:textId="741BFF62">
            <w:pPr>
              <w:pStyle w:val="TableParagraph"/>
              <w:tabs>
                <w:tab w:val="left" w:pos="157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Pre-opening funding</w:t>
            </w:r>
          </w:p>
          <w:p w:rsidR="00E02467" w:rsidP="007248F2" w:rsidRDefault="00E02467" w14:paraId="71213787" w14:textId="225C29A9">
            <w:pPr>
              <w:pStyle w:val="TableParagraph"/>
              <w:tabs>
                <w:tab w:val="left" w:pos="157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Pr="00CF0BBA" w:rsidR="00E02467" w:rsidP="007248F2" w:rsidRDefault="00E02467" w14:paraId="44B6F65C" w14:textId="787EA0E3">
            <w:pPr>
              <w:pStyle w:val="TableParagraph"/>
              <w:tabs>
                <w:tab w:val="left" w:pos="157"/>
              </w:tabs>
              <w:spacing w:before="0"/>
              <w:jc w:val="left"/>
              <w:rPr>
                <w:sz w:val="24"/>
                <w:szCs w:val="24"/>
              </w:rPr>
            </w:pPr>
            <w:r w:rsidRPr="00CF0BBA">
              <w:rPr>
                <w:sz w:val="24"/>
                <w:szCs w:val="24"/>
              </w:rPr>
              <w:t xml:space="preserve">An allocation has been set aside for the new maintained school, St John Henry Newman, due to open in September 2022. The funding available is the balance of the £50k pre-opening funding of £37.5k and dis-economies funding </w:t>
            </w:r>
            <w:r w:rsidR="00CF0BBA">
              <w:rPr>
                <w:sz w:val="24"/>
                <w:szCs w:val="24"/>
              </w:rPr>
              <w:t xml:space="preserve">to </w:t>
            </w:r>
            <w:r w:rsidRPr="00CF0BBA" w:rsidR="00CF0BBA">
              <w:rPr>
                <w:sz w:val="24"/>
                <w:szCs w:val="24"/>
              </w:rPr>
              <w:t>allow the school to put in place the required management structures and to meet the resourcing costs of new year groups</w:t>
            </w:r>
            <w:r w:rsidR="00CF0BBA">
              <w:rPr>
                <w:sz w:val="24"/>
                <w:szCs w:val="24"/>
              </w:rPr>
              <w:t xml:space="preserve"> of £47.7k</w:t>
            </w:r>
          </w:p>
          <w:p w:rsidR="00577C1D" w:rsidP="005A1E28" w:rsidRDefault="00577C1D" w14:paraId="6182ABF6" w14:textId="5EE3593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F0BBA" w:rsidP="005A1E28" w:rsidRDefault="00CF0BBA" w14:paraId="52E2045E" w14:textId="43CE7A3E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F0BBA" w:rsidP="005A1E28" w:rsidRDefault="00CF0BBA" w14:paraId="63346C2C" w14:textId="6D26B10B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F0BBA" w:rsidP="005A1E28" w:rsidRDefault="00CF0BBA" w14:paraId="0062E3C4" w14:textId="6CC897EA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F0BBA" w:rsidP="005A1E28" w:rsidRDefault="00CF0BBA" w14:paraId="6678D14F" w14:textId="4402C21A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F0BBA" w:rsidP="005A1E28" w:rsidRDefault="00CF0BBA" w14:paraId="38DD49B2" w14:textId="1C60FADF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F0BBA" w:rsidP="005A1E28" w:rsidRDefault="00CF0BBA" w14:paraId="4F85023F" w14:textId="3CB3FE6F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F0BBA" w:rsidP="005A1E28" w:rsidRDefault="00CF0BBA" w14:paraId="6034B01B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Pr="00A70107" w:rsidR="002C4D08" w:rsidP="00CF0BBA" w:rsidRDefault="002C4D08" w14:paraId="1239F4E6" w14:textId="6F892DA3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Pr="00A70107" w:rsidR="00A25435" w:rsidTr="0042235B" w14:paraId="0B6FA260" w14:textId="77777777">
        <w:trPr>
          <w:trHeight w:val="260"/>
        </w:trPr>
        <w:tc>
          <w:tcPr>
            <w:tcW w:w="547" w:type="dxa"/>
          </w:tcPr>
          <w:p w:rsidR="00A25435" w:rsidP="00A25435" w:rsidRDefault="002C7CC8" w14:paraId="53B39508" w14:textId="77777777">
            <w:pPr>
              <w:pStyle w:val="TableParagraph"/>
              <w:spacing w:befor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4.0</w:t>
            </w:r>
          </w:p>
          <w:p w:rsidR="002C7CC8" w:rsidP="00A25435" w:rsidRDefault="002C7CC8" w14:paraId="7E7F995F" w14:textId="77777777">
            <w:pPr>
              <w:pStyle w:val="TableParagraph"/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Pr="002C7CC8" w:rsidR="002C7CC8" w:rsidP="00A25435" w:rsidRDefault="002C7CC8" w14:paraId="2384518F" w14:textId="390CC6FA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 w:rsidRPr="002C7CC8">
              <w:rPr>
                <w:sz w:val="24"/>
                <w:szCs w:val="24"/>
              </w:rPr>
              <w:t>4.1</w:t>
            </w:r>
          </w:p>
        </w:tc>
        <w:tc>
          <w:tcPr>
            <w:tcW w:w="9878" w:type="dxa"/>
          </w:tcPr>
          <w:p w:rsidRPr="007801E8" w:rsidR="00CF0BBA" w:rsidP="00A25435" w:rsidRDefault="00CF0BBA" w14:paraId="2499DF36" w14:textId="3E14F14F">
            <w:pPr>
              <w:pStyle w:val="TableParagraph"/>
              <w:tabs>
                <w:tab w:val="left" w:pos="213"/>
              </w:tabs>
              <w:spacing w:befor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Balance on Growth Fund 22-23</w:t>
            </w:r>
          </w:p>
          <w:p w:rsidR="002C7CC8" w:rsidP="00CF0BBA" w:rsidRDefault="002C7CC8" w14:paraId="5834718F" w14:textId="4F82F288">
            <w:pPr>
              <w:pStyle w:val="TableParagraph"/>
              <w:tabs>
                <w:tab w:val="left" w:pos="213"/>
              </w:tabs>
              <w:spacing w:before="0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CF0BBA" w:rsidP="00CF0BBA" w:rsidRDefault="00CF0BBA" w14:paraId="6D9F2684" w14:textId="777C7134">
            <w:pPr>
              <w:pStyle w:val="TableParagraph"/>
              <w:tabs>
                <w:tab w:val="left" w:pos="213"/>
              </w:tabs>
              <w:spacing w:before="0"/>
              <w:jc w:val="left"/>
              <w:rPr>
                <w:bCs/>
                <w:sz w:val="24"/>
                <w:szCs w:val="24"/>
              </w:rPr>
            </w:pPr>
            <w:r w:rsidRPr="00CF0BBA">
              <w:rPr>
                <w:bCs/>
                <w:sz w:val="24"/>
                <w:szCs w:val="24"/>
              </w:rPr>
              <w:t xml:space="preserve">Based on current allocations of growth funding and new school funding the growth fund </w:t>
            </w:r>
            <w:r w:rsidR="006F2B4D">
              <w:rPr>
                <w:bCs/>
                <w:sz w:val="24"/>
                <w:szCs w:val="24"/>
              </w:rPr>
              <w:t>is currently in surplus which allows for changes in final admissions and any other schools who may qualify</w:t>
            </w:r>
          </w:p>
          <w:p w:rsidR="00CF0BBA" w:rsidP="00CF0BBA" w:rsidRDefault="00CF0BBA" w14:paraId="3ED38E14" w14:textId="54FE65BD">
            <w:pPr>
              <w:pStyle w:val="TableParagraph"/>
              <w:tabs>
                <w:tab w:val="left" w:pos="213"/>
              </w:tabs>
              <w:spacing w:before="0"/>
              <w:jc w:val="left"/>
              <w:rPr>
                <w:bCs/>
                <w:sz w:val="24"/>
                <w:szCs w:val="24"/>
              </w:rPr>
            </w:pPr>
          </w:p>
          <w:tbl>
            <w:tblPr>
              <w:tblW w:w="5682" w:type="dxa"/>
              <w:tblLayout w:type="fixed"/>
              <w:tblLook w:val="04A0" w:firstRow="1" w:lastRow="0" w:firstColumn="1" w:lastColumn="0" w:noHBand="0" w:noVBand="1"/>
            </w:tblPr>
            <w:tblGrid>
              <w:gridCol w:w="3697"/>
              <w:gridCol w:w="1985"/>
            </w:tblGrid>
            <w:tr w:rsidRPr="00CF0BBA" w:rsidR="00CF0BBA" w:rsidTr="00CF0BBA" w14:paraId="5D6975BD" w14:textId="77777777">
              <w:trPr>
                <w:trHeight w:val="300"/>
              </w:trPr>
              <w:tc>
                <w:tcPr>
                  <w:tcW w:w="56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  <w:vAlign w:val="bottom"/>
                  <w:hideMark/>
                </w:tcPr>
                <w:p w:rsidRPr="00CF0BBA" w:rsidR="00CF0BBA" w:rsidP="00CF0BBA" w:rsidRDefault="00CF0BBA" w14:paraId="56D8FCDC" w14:textId="77777777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eastAsia="Times New Roman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b/>
                      <w:bCs/>
                      <w:color w:val="000000"/>
                      <w:lang w:val="en-GB" w:eastAsia="en-GB"/>
                    </w:rPr>
                    <w:t>Growth Fund 22-23 £</w:t>
                  </w:r>
                </w:p>
              </w:tc>
            </w:tr>
            <w:tr w:rsidRPr="00CF0BBA" w:rsidR="00CF0BBA" w:rsidTr="00CF0BBA" w14:paraId="0599A94C" w14:textId="77777777">
              <w:trPr>
                <w:trHeight w:val="300"/>
              </w:trPr>
              <w:tc>
                <w:tcPr>
                  <w:tcW w:w="36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F0BBA" w:rsidR="00CF0BBA" w:rsidP="00CF0BBA" w:rsidRDefault="00CF0BBA" w14:paraId="31D6AA21" w14:textId="77777777">
                  <w:pPr>
                    <w:widowControl/>
                    <w:autoSpaceDE/>
                    <w:autoSpaceDN/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F0BBA" w:rsidR="00CF0BBA" w:rsidP="00CF0BBA" w:rsidRDefault="00CF0BBA" w14:paraId="13497EFF" w14:textId="77777777">
                  <w:pPr>
                    <w:widowControl/>
                    <w:autoSpaceDE/>
                    <w:autoSpaceDN/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  <w:t> </w:t>
                  </w:r>
                </w:p>
              </w:tc>
            </w:tr>
            <w:tr w:rsidRPr="00CF0BBA" w:rsidR="00CF0BBA" w:rsidTr="00CF0BBA" w14:paraId="5B8AD1DD" w14:textId="77777777">
              <w:trPr>
                <w:trHeight w:val="300"/>
              </w:trPr>
              <w:tc>
                <w:tcPr>
                  <w:tcW w:w="36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F0BBA" w:rsidR="00CF0BBA" w:rsidP="00CF0BBA" w:rsidRDefault="00CF0BBA" w14:paraId="730085F9" w14:textId="77777777">
                  <w:pPr>
                    <w:widowControl/>
                    <w:autoSpaceDE/>
                    <w:autoSpaceDN/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  <w:t>Total Growth Fund agreed Jan forum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F0BBA" w:rsidR="00CF0BBA" w:rsidP="00CF0BBA" w:rsidRDefault="00CF0BBA" w14:paraId="76209897" w14:textId="77473092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  <w:t xml:space="preserve">         </w:t>
                  </w:r>
                  <w:r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  <w:t xml:space="preserve">      </w:t>
                  </w:r>
                  <w:r w:rsidRPr="00CF0BBA"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  <w:t xml:space="preserve">1,200,000 </w:t>
                  </w:r>
                </w:p>
              </w:tc>
            </w:tr>
            <w:tr w:rsidRPr="00CF0BBA" w:rsidR="00CF0BBA" w:rsidTr="00CF0BBA" w14:paraId="4CC03F32" w14:textId="77777777">
              <w:trPr>
                <w:trHeight w:val="300"/>
              </w:trPr>
              <w:tc>
                <w:tcPr>
                  <w:tcW w:w="36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F0BBA" w:rsidR="00CF0BBA" w:rsidP="00CF0BBA" w:rsidRDefault="00CF0BBA" w14:paraId="5265D977" w14:textId="77777777">
                  <w:pPr>
                    <w:widowControl/>
                    <w:autoSpaceDE/>
                    <w:autoSpaceDN/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  <w:t>Total allocations for school places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F0BBA" w:rsidR="00CF0BBA" w:rsidP="00CF0BBA" w:rsidRDefault="00CF0BBA" w14:paraId="28548006" w14:textId="7DA647F1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eastAsia="Times New Roman" w:cs="Calibri"/>
                      <w:color w:val="FF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color w:val="FF0000"/>
                      <w:lang w:val="en-GB" w:eastAsia="en-GB"/>
                    </w:rPr>
                    <w:t>(</w:t>
                  </w:r>
                  <w:r w:rsidRPr="00CF0BBA">
                    <w:rPr>
                      <w:rFonts w:ascii="Calibri" w:hAnsi="Calibri" w:eastAsia="Times New Roman" w:cs="Calibri"/>
                      <w:color w:val="FF0000"/>
                      <w:lang w:val="en-GB" w:eastAsia="en-GB"/>
                    </w:rPr>
                    <w:t>871,099</w:t>
                  </w:r>
                  <w:r w:rsidRPr="00CF0BBA">
                    <w:rPr>
                      <w:rFonts w:ascii="Calibri" w:hAnsi="Calibri" w:eastAsia="Times New Roman" w:cs="Calibri"/>
                      <w:color w:val="FF0000"/>
                      <w:lang w:val="en-GB" w:eastAsia="en-GB"/>
                    </w:rPr>
                    <w:t>)</w:t>
                  </w:r>
                </w:p>
              </w:tc>
            </w:tr>
            <w:tr w:rsidRPr="00CF0BBA" w:rsidR="00CF0BBA" w:rsidTr="00CF0BBA" w14:paraId="53521709" w14:textId="77777777">
              <w:trPr>
                <w:trHeight w:val="275"/>
              </w:trPr>
              <w:tc>
                <w:tcPr>
                  <w:tcW w:w="36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F0BBA" w:rsidR="00CF0BBA" w:rsidP="00CF0BBA" w:rsidRDefault="00CF0BBA" w14:paraId="554154B8" w14:textId="77777777">
                  <w:pPr>
                    <w:widowControl/>
                    <w:autoSpaceDE/>
                    <w:autoSpaceDN/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  <w:t>New school allocation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F0BBA" w:rsidR="00CF0BBA" w:rsidP="00CF0BBA" w:rsidRDefault="00CF0BBA" w14:paraId="465C05AA" w14:textId="5054BC02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eastAsia="Times New Roman" w:cs="Calibri"/>
                      <w:color w:val="FF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color w:val="FF0000"/>
                      <w:lang w:val="en-GB" w:eastAsia="en-GB"/>
                    </w:rPr>
                    <w:t xml:space="preserve">               </w:t>
                  </w:r>
                  <w:r w:rsidRPr="00CF0BBA">
                    <w:rPr>
                      <w:rFonts w:ascii="Calibri" w:hAnsi="Calibri" w:eastAsia="Times New Roman" w:cs="Calibri"/>
                      <w:color w:val="FF0000"/>
                      <w:lang w:val="en-GB" w:eastAsia="en-GB"/>
                    </w:rPr>
                    <w:t>(</w:t>
                  </w:r>
                  <w:r w:rsidRPr="00CF0BBA">
                    <w:rPr>
                      <w:rFonts w:ascii="Calibri" w:hAnsi="Calibri" w:eastAsia="Times New Roman" w:cs="Calibri"/>
                      <w:color w:val="FF0000"/>
                      <w:lang w:val="en-GB" w:eastAsia="en-GB"/>
                    </w:rPr>
                    <w:t>85,200</w:t>
                  </w:r>
                  <w:r w:rsidRPr="00CF0BBA">
                    <w:rPr>
                      <w:rFonts w:ascii="Calibri" w:hAnsi="Calibri" w:eastAsia="Times New Roman" w:cs="Calibri"/>
                      <w:color w:val="FF0000"/>
                      <w:lang w:val="en-GB" w:eastAsia="en-GB"/>
                    </w:rPr>
                    <w:t>)</w:t>
                  </w:r>
                  <w:r w:rsidRPr="00CF0BBA">
                    <w:rPr>
                      <w:rFonts w:ascii="Calibri" w:hAnsi="Calibri" w:eastAsia="Times New Roman" w:cs="Calibri"/>
                      <w:color w:val="FF0000"/>
                      <w:lang w:val="en-GB" w:eastAsia="en-GB"/>
                    </w:rPr>
                    <w:t xml:space="preserve"> </w:t>
                  </w:r>
                </w:p>
              </w:tc>
            </w:tr>
            <w:tr w:rsidRPr="00CF0BBA" w:rsidR="00CF0BBA" w:rsidTr="00CF0BBA" w14:paraId="2485C5E4" w14:textId="77777777">
              <w:trPr>
                <w:trHeight w:val="300"/>
              </w:trPr>
              <w:tc>
                <w:tcPr>
                  <w:tcW w:w="36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F0BBA" w:rsidR="00CF0BBA" w:rsidP="00CF0BBA" w:rsidRDefault="00CF0BBA" w14:paraId="0F4A8AAA" w14:textId="77777777">
                  <w:pPr>
                    <w:widowControl/>
                    <w:autoSpaceDE/>
                    <w:autoSpaceDN/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F0BBA" w:rsidR="00CF0BBA" w:rsidP="00CF0BBA" w:rsidRDefault="00CF0BBA" w14:paraId="39B65FCB" w14:textId="77777777">
                  <w:pPr>
                    <w:widowControl/>
                    <w:autoSpaceDE/>
                    <w:autoSpaceDN/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color w:val="000000"/>
                      <w:lang w:val="en-GB" w:eastAsia="en-GB"/>
                    </w:rPr>
                    <w:t> </w:t>
                  </w:r>
                </w:p>
              </w:tc>
            </w:tr>
            <w:tr w:rsidRPr="00CF0BBA" w:rsidR="00CF0BBA" w:rsidTr="006F2B4D" w14:paraId="76660F3A" w14:textId="77777777">
              <w:trPr>
                <w:trHeight w:val="300"/>
              </w:trPr>
              <w:tc>
                <w:tcPr>
                  <w:tcW w:w="36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:rsidRPr="00CF0BBA" w:rsidR="00CF0BBA" w:rsidP="00CF0BBA" w:rsidRDefault="00CF0BBA" w14:paraId="3B0578D2" w14:textId="77777777">
                  <w:pPr>
                    <w:widowControl/>
                    <w:autoSpaceDE/>
                    <w:autoSpaceDN/>
                    <w:rPr>
                      <w:rFonts w:ascii="Calibri" w:hAnsi="Calibri" w:eastAsia="Times New Roman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b/>
                      <w:bCs/>
                      <w:color w:val="000000"/>
                      <w:lang w:val="en-GB" w:eastAsia="en-GB"/>
                    </w:rPr>
                    <w:t>Total surplus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:rsidRPr="00CF0BBA" w:rsidR="00CF0BBA" w:rsidP="00CF0BBA" w:rsidRDefault="00CF0BBA" w14:paraId="5BF8E495" w14:textId="77777777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eastAsia="Times New Roman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CF0BBA">
                    <w:rPr>
                      <w:rFonts w:ascii="Calibri" w:hAnsi="Calibri" w:eastAsia="Times New Roman" w:cs="Calibri"/>
                      <w:b/>
                      <w:bCs/>
                      <w:color w:val="000000"/>
                      <w:lang w:val="en-GB" w:eastAsia="en-GB"/>
                    </w:rPr>
                    <w:t xml:space="preserve">             243,701 </w:t>
                  </w:r>
                </w:p>
              </w:tc>
            </w:tr>
          </w:tbl>
          <w:p w:rsidRPr="00CF0BBA" w:rsidR="00CF0BBA" w:rsidP="00CF0BBA" w:rsidRDefault="00CF0BBA" w14:paraId="3E91E0A6" w14:textId="77777777">
            <w:pPr>
              <w:pStyle w:val="TableParagraph"/>
              <w:tabs>
                <w:tab w:val="left" w:pos="213"/>
              </w:tabs>
              <w:spacing w:before="0"/>
              <w:jc w:val="left"/>
              <w:rPr>
                <w:bCs/>
                <w:sz w:val="24"/>
                <w:szCs w:val="24"/>
              </w:rPr>
            </w:pPr>
          </w:p>
          <w:p w:rsidRPr="002C7CC8" w:rsidR="008B115D" w:rsidP="006F2B4D" w:rsidRDefault="008B115D" w14:paraId="26399E03" w14:textId="60C18382">
            <w:pPr>
              <w:pStyle w:val="TableParagraph"/>
              <w:tabs>
                <w:tab w:val="left" w:pos="213"/>
              </w:tabs>
              <w:spacing w:before="0"/>
              <w:ind w:left="720"/>
              <w:jc w:val="left"/>
              <w:rPr>
                <w:bCs/>
                <w:sz w:val="24"/>
                <w:szCs w:val="24"/>
              </w:rPr>
            </w:pPr>
          </w:p>
        </w:tc>
      </w:tr>
      <w:tr w:rsidRPr="00A70107" w:rsidR="00A25435" w:rsidTr="0042235B" w14:paraId="1C6E6D71" w14:textId="77777777">
        <w:trPr>
          <w:trHeight w:val="260"/>
        </w:trPr>
        <w:tc>
          <w:tcPr>
            <w:tcW w:w="547" w:type="dxa"/>
          </w:tcPr>
          <w:p w:rsidRPr="00A70107" w:rsidR="00A25435" w:rsidP="00A25435" w:rsidRDefault="00A25435" w14:paraId="54B4E2B6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878" w:type="dxa"/>
          </w:tcPr>
          <w:p w:rsidR="00A25435" w:rsidP="005A1E28" w:rsidRDefault="00A25435" w14:paraId="7D5C818B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Pr="00A70107" w:rsidR="009B3E2A" w:rsidP="005A1E28" w:rsidRDefault="009B3E2A" w14:paraId="3A6A55E8" w14:textId="39C2B31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Pr="00A70107" w:rsidR="006E529B" w:rsidTr="0042235B" w14:paraId="1C47C219" w14:textId="77777777">
        <w:trPr>
          <w:trHeight w:val="260"/>
        </w:trPr>
        <w:tc>
          <w:tcPr>
            <w:tcW w:w="547" w:type="dxa"/>
          </w:tcPr>
          <w:p w:rsidR="006E529B" w:rsidP="00A25435" w:rsidRDefault="006E529B" w14:paraId="14776FF2" w14:textId="51B458ED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Pr="00A70107" w:rsidR="004048F8" w:rsidP="00A25435" w:rsidRDefault="004048F8" w14:paraId="53693874" w14:textId="437892EE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878" w:type="dxa"/>
          </w:tcPr>
          <w:p w:rsidR="00C94232" w:rsidP="005A1E28" w:rsidRDefault="00C94232" w14:paraId="39B302F1" w14:textId="489351FE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726E7F" w:rsidP="005A1E28" w:rsidRDefault="00726E7F" w14:paraId="56BD4F52" w14:textId="5D47CD4E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9B3E2A" w:rsidP="005A1E28" w:rsidRDefault="009B3E2A" w14:paraId="2CEF0410" w14:textId="687B9C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9B3E2A" w:rsidP="005A1E28" w:rsidRDefault="009B3E2A" w14:paraId="0444486D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Pr="00E226C5" w:rsidR="008A4E97" w:rsidP="00E226C5" w:rsidRDefault="008A4E97" w14:paraId="01E07DD3" w14:textId="53365FF9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Pr="00A70107" w:rsidR="00A25435" w:rsidTr="0042235B" w14:paraId="6C244666" w14:textId="77777777">
        <w:trPr>
          <w:trHeight w:val="260"/>
        </w:trPr>
        <w:tc>
          <w:tcPr>
            <w:tcW w:w="547" w:type="dxa"/>
          </w:tcPr>
          <w:p w:rsidRPr="00A70107" w:rsidR="00A25435" w:rsidP="00A25435" w:rsidRDefault="00A25435" w14:paraId="07EE06A4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878" w:type="dxa"/>
          </w:tcPr>
          <w:p w:rsidRPr="00A70107" w:rsidR="00A25435" w:rsidP="005A1E28" w:rsidRDefault="00A25435" w14:paraId="5181659E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Pr="00A70107" w:rsidR="00A25435" w:rsidTr="0042235B" w14:paraId="2AEB2BB2" w14:textId="77777777">
        <w:trPr>
          <w:trHeight w:val="260"/>
        </w:trPr>
        <w:tc>
          <w:tcPr>
            <w:tcW w:w="547" w:type="dxa"/>
          </w:tcPr>
          <w:p w:rsidRPr="00A70107" w:rsidR="00A25435" w:rsidP="009F0082" w:rsidRDefault="00A25435" w14:paraId="2160BEB0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878" w:type="dxa"/>
          </w:tcPr>
          <w:p w:rsidRPr="00A70107" w:rsidR="00A25435" w:rsidP="009F0082" w:rsidRDefault="00A25435" w14:paraId="17802A80" w14:textId="77777777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:rsidR="00AD7C65" w:rsidRDefault="00AD7C65" w14:paraId="4777837F" w14:textId="77777777"/>
    <w:p w:rsidR="00AD7C65" w:rsidRDefault="00AD7C65" w14:paraId="4EFC7A06" w14:textId="4F348AC7"/>
    <w:p w:rsidR="00AD7C65" w:rsidRDefault="00AD7C65" w14:paraId="46E21EAE" w14:textId="4F383C0B"/>
    <w:p w:rsidR="00AD7C65" w:rsidRDefault="00AD7C65" w14:paraId="6BBFE5A1" w14:textId="2CB467B3"/>
    <w:p w:rsidR="004E1FCE" w:rsidRDefault="004E1FCE" w14:paraId="3BD94B53" w14:textId="77777777"/>
    <w:p w:rsidR="004E1FCE" w:rsidRDefault="004E1FCE" w14:paraId="1A2B701E" w14:textId="77777777">
      <w:r>
        <w:br/>
      </w:r>
    </w:p>
    <w:p w:rsidR="004E1FCE" w:rsidRDefault="004E1FCE" w14:paraId="0F78F4E2" w14:textId="77777777"/>
    <w:p w:rsidR="004E1FCE" w:rsidRDefault="004E1FCE" w14:paraId="2E574E9B" w14:textId="376BCC53"/>
    <w:p w:rsidR="00C617A6" w:rsidRDefault="00C617A6" w14:paraId="3D8A5788" w14:textId="7F4CCBE7"/>
    <w:p w:rsidR="00C617A6" w:rsidRDefault="00C617A6" w14:paraId="40375268" w14:textId="2561326E"/>
    <w:p w:rsidR="00C617A6" w:rsidRDefault="00C617A6" w14:paraId="1CD866DA" w14:textId="34EE7836"/>
    <w:p w:rsidR="00C617A6" w:rsidRDefault="00C617A6" w14:paraId="3B86803E" w14:textId="31F28F16"/>
    <w:p w:rsidR="00C617A6" w:rsidRDefault="00C617A6" w14:paraId="4167FA30" w14:textId="4CF5C9F2"/>
    <w:p w:rsidR="00C617A6" w:rsidRDefault="00C617A6" w14:paraId="0C511FD6" w14:textId="1F3EFCD5"/>
    <w:p w:rsidR="00C617A6" w:rsidRDefault="00C617A6" w14:paraId="4E7631AC" w14:textId="275C7977"/>
    <w:p w:rsidR="00C617A6" w:rsidRDefault="00C617A6" w14:paraId="21AC85E0" w14:textId="7298AC54"/>
    <w:p w:rsidR="00C617A6" w:rsidRDefault="00C617A6" w14:paraId="6617F711" w14:textId="406E3E63"/>
    <w:p w:rsidR="00C617A6" w:rsidRDefault="00C617A6" w14:paraId="605C356D" w14:textId="4C7A9227"/>
    <w:p w:rsidR="00C617A6" w:rsidRDefault="00C617A6" w14:paraId="1545D02A" w14:textId="324FA79C"/>
    <w:p w:rsidR="00C617A6" w:rsidRDefault="00C617A6" w14:paraId="34DDE909" w14:textId="4041BE2F"/>
    <w:p w:rsidR="00C617A6" w:rsidRDefault="00C617A6" w14:paraId="3529E897" w14:textId="23CCC8B1"/>
    <w:p w:rsidR="00C617A6" w:rsidRDefault="00C617A6" w14:paraId="023BEDFE" w14:textId="5025EBE2"/>
    <w:p w:rsidR="00C617A6" w:rsidRDefault="00C617A6" w14:paraId="59D7294D" w14:textId="2E58448B"/>
    <w:p w:rsidR="00C617A6" w:rsidRDefault="00C617A6" w14:paraId="0B4A4C9C" w14:textId="3C69B46B"/>
    <w:p w:rsidR="00577C1D" w:rsidRDefault="00577C1D" w14:paraId="202A85FC" w14:textId="77777777"/>
    <w:p w:rsidR="00C617A6" w:rsidRDefault="00C617A6" w14:paraId="439315ED" w14:textId="11EF0038"/>
    <w:p w:rsidR="00C617A6" w:rsidRDefault="00C617A6" w14:paraId="7B983752" w14:textId="1302F3F4"/>
    <w:sectPr w:rsidR="00C617A6" w:rsidSect="00576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A221" w14:textId="77777777" w:rsidR="00A25435" w:rsidRDefault="00A25435" w:rsidP="00A25435">
      <w:r>
        <w:separator/>
      </w:r>
    </w:p>
  </w:endnote>
  <w:endnote w:type="continuationSeparator" w:id="0">
    <w:p w14:paraId="1A9C2653" w14:textId="77777777" w:rsidR="00A25435" w:rsidRDefault="00A25435" w:rsidP="00A2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24CE" w14:textId="77777777" w:rsidR="00A25435" w:rsidRDefault="00A25435" w:rsidP="00A25435">
      <w:r>
        <w:separator/>
      </w:r>
    </w:p>
  </w:footnote>
  <w:footnote w:type="continuationSeparator" w:id="0">
    <w:p w14:paraId="07FB2F79" w14:textId="77777777" w:rsidR="00A25435" w:rsidRDefault="00A25435" w:rsidP="00A2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6CD"/>
    <w:multiLevelType w:val="hybridMultilevel"/>
    <w:tmpl w:val="6558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0AED"/>
    <w:multiLevelType w:val="hybridMultilevel"/>
    <w:tmpl w:val="A9A22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23346"/>
    <w:multiLevelType w:val="hybridMultilevel"/>
    <w:tmpl w:val="846A7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D13FC"/>
    <w:multiLevelType w:val="hybridMultilevel"/>
    <w:tmpl w:val="AACC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1989"/>
    <w:multiLevelType w:val="hybridMultilevel"/>
    <w:tmpl w:val="A07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9B"/>
    <w:rsid w:val="00006F53"/>
    <w:rsid w:val="00014858"/>
    <w:rsid w:val="00086D5D"/>
    <w:rsid w:val="00092B6A"/>
    <w:rsid w:val="000A495B"/>
    <w:rsid w:val="000B12A9"/>
    <w:rsid w:val="000D11FA"/>
    <w:rsid w:val="00103506"/>
    <w:rsid w:val="00120DC5"/>
    <w:rsid w:val="00164F06"/>
    <w:rsid w:val="001F3BC0"/>
    <w:rsid w:val="002076A8"/>
    <w:rsid w:val="00224E0D"/>
    <w:rsid w:val="002458E9"/>
    <w:rsid w:val="00270E18"/>
    <w:rsid w:val="002C4D08"/>
    <w:rsid w:val="002C7CC8"/>
    <w:rsid w:val="002F16B8"/>
    <w:rsid w:val="00351067"/>
    <w:rsid w:val="00386710"/>
    <w:rsid w:val="00391BC2"/>
    <w:rsid w:val="003E72D7"/>
    <w:rsid w:val="004048F8"/>
    <w:rsid w:val="0042235B"/>
    <w:rsid w:val="00450773"/>
    <w:rsid w:val="004D2CAD"/>
    <w:rsid w:val="004E1FCE"/>
    <w:rsid w:val="004E4032"/>
    <w:rsid w:val="005761DD"/>
    <w:rsid w:val="00577C1D"/>
    <w:rsid w:val="005F2316"/>
    <w:rsid w:val="00672518"/>
    <w:rsid w:val="006765A3"/>
    <w:rsid w:val="006E4FB3"/>
    <w:rsid w:val="006E529B"/>
    <w:rsid w:val="006F2B4D"/>
    <w:rsid w:val="00703ADF"/>
    <w:rsid w:val="007248F2"/>
    <w:rsid w:val="00726E7F"/>
    <w:rsid w:val="00761BF3"/>
    <w:rsid w:val="007801E8"/>
    <w:rsid w:val="00785F13"/>
    <w:rsid w:val="00786668"/>
    <w:rsid w:val="007A65CB"/>
    <w:rsid w:val="007D4FF9"/>
    <w:rsid w:val="00806BDD"/>
    <w:rsid w:val="0087170A"/>
    <w:rsid w:val="00890E07"/>
    <w:rsid w:val="00894C0D"/>
    <w:rsid w:val="008A28A5"/>
    <w:rsid w:val="008A4E97"/>
    <w:rsid w:val="008A7B27"/>
    <w:rsid w:val="008B115D"/>
    <w:rsid w:val="008C4FD9"/>
    <w:rsid w:val="00922068"/>
    <w:rsid w:val="00962320"/>
    <w:rsid w:val="00986FEE"/>
    <w:rsid w:val="009964CA"/>
    <w:rsid w:val="009B3E2A"/>
    <w:rsid w:val="009C790B"/>
    <w:rsid w:val="00A17EA7"/>
    <w:rsid w:val="00A25435"/>
    <w:rsid w:val="00A43ABA"/>
    <w:rsid w:val="00A556A3"/>
    <w:rsid w:val="00A70107"/>
    <w:rsid w:val="00AD7C65"/>
    <w:rsid w:val="00AE6495"/>
    <w:rsid w:val="00C072AA"/>
    <w:rsid w:val="00C548CF"/>
    <w:rsid w:val="00C617A6"/>
    <w:rsid w:val="00C94232"/>
    <w:rsid w:val="00CF0BBA"/>
    <w:rsid w:val="00CF15C1"/>
    <w:rsid w:val="00D07773"/>
    <w:rsid w:val="00D16E2A"/>
    <w:rsid w:val="00DA4B01"/>
    <w:rsid w:val="00DA686E"/>
    <w:rsid w:val="00DB637E"/>
    <w:rsid w:val="00E02467"/>
    <w:rsid w:val="00E226C5"/>
    <w:rsid w:val="00F1773F"/>
    <w:rsid w:val="00F9535B"/>
    <w:rsid w:val="00FC3A5A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57E1"/>
  <w15:chartTrackingRefBased/>
  <w15:docId w15:val="{B07A32C0-B46E-43C4-AB6B-07579496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52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529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529B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E529B"/>
    <w:pPr>
      <w:spacing w:before="5"/>
      <w:jc w:val="right"/>
    </w:pPr>
  </w:style>
  <w:style w:type="paragraph" w:styleId="Header">
    <w:name w:val="header"/>
    <w:basedOn w:val="Normal"/>
    <w:link w:val="HeaderChar"/>
    <w:uiPriority w:val="99"/>
    <w:unhideWhenUsed/>
    <w:rsid w:val="00A25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435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435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40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5) Growth Fund</dc:title>
  <dc:subject>
  </dc:subject>
  <dc:creator>Courtman Margaret</dc:creator>
  <cp:keywords>
  </cp:keywords>
  <dc:description>
  </dc:description>
  <cp:lastModifiedBy>Jonathan Lewis</cp:lastModifiedBy>
  <cp:revision>5</cp:revision>
  <dcterms:created xsi:type="dcterms:W3CDTF">2022-07-06T11:47:00Z</dcterms:created>
  <dcterms:modified xsi:type="dcterms:W3CDTF">2022-07-10T17:42:21Z</dcterms:modified>
</cp:coreProperties>
</file>