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529B" w:rsidP="006E529B" w:rsidRDefault="006E529B" w14:paraId="4BD6A2B5" w14:textId="4ADDCE16">
      <w:pPr>
        <w:spacing w:before="77"/>
        <w:ind w:right="514"/>
        <w:jc w:val="right"/>
        <w:rPr>
          <w:b/>
          <w:sz w:val="24"/>
        </w:rPr>
      </w:pPr>
      <w:r w:rsidRPr="00450773">
        <w:rPr>
          <w:b/>
          <w:sz w:val="24"/>
          <w:u w:val="thick"/>
        </w:rPr>
        <w:t xml:space="preserve">Agenda Item No: </w:t>
      </w:r>
      <w:r w:rsidRPr="00450773" w:rsidR="00450773">
        <w:rPr>
          <w:b/>
          <w:sz w:val="24"/>
          <w:u w:val="thick"/>
        </w:rPr>
        <w:t>3</w:t>
      </w:r>
    </w:p>
    <w:p w:rsidR="006E529B" w:rsidP="006E529B" w:rsidRDefault="006E529B" w14:paraId="042CE3B5" w14:textId="77777777">
      <w:pPr>
        <w:pStyle w:val="BodyText"/>
        <w:rPr>
          <w:b/>
        </w:rPr>
      </w:pPr>
    </w:p>
    <w:p w:rsidR="006E529B" w:rsidP="006E4FB3" w:rsidRDefault="00450773" w14:paraId="49284416" w14:textId="2D8D305D">
      <w:pPr>
        <w:pStyle w:val="BodyText"/>
        <w:spacing w:before="10"/>
        <w:ind w:left="-426"/>
        <w:rPr>
          <w:b/>
          <w:bCs/>
          <w:sz w:val="28"/>
          <w:szCs w:val="28"/>
        </w:rPr>
      </w:pPr>
      <w:r>
        <w:rPr>
          <w:b/>
          <w:bCs/>
          <w:sz w:val="28"/>
          <w:szCs w:val="28"/>
        </w:rPr>
        <w:t>Schools Financial Health – Revenue Balances and Balance Control Mechanism</w:t>
      </w:r>
    </w:p>
    <w:p w:rsidR="006E529B" w:rsidP="006E4FB3" w:rsidRDefault="006E529B" w14:paraId="28C8D5B6" w14:textId="77777777">
      <w:pPr>
        <w:pStyle w:val="BodyText"/>
        <w:spacing w:before="10"/>
        <w:ind w:left="-426"/>
        <w:rPr>
          <w:b/>
          <w:sz w:val="23"/>
        </w:rPr>
      </w:pPr>
    </w:p>
    <w:p w:rsidR="006E529B" w:rsidP="006E4FB3" w:rsidRDefault="006E529B" w14:paraId="3BBB792A" w14:textId="77777777">
      <w:pPr>
        <w:pStyle w:val="BodyText"/>
        <w:tabs>
          <w:tab w:val="left" w:pos="1408"/>
        </w:tabs>
        <w:ind w:left="-426"/>
      </w:pPr>
      <w:r>
        <w:t>To:</w:t>
      </w:r>
      <w:r>
        <w:tab/>
        <w:t>Peterborough Schools’</w:t>
      </w:r>
      <w:r>
        <w:rPr>
          <w:spacing w:val="-9"/>
        </w:rPr>
        <w:t xml:space="preserve"> </w:t>
      </w:r>
      <w:r>
        <w:t>Forum</w:t>
      </w:r>
    </w:p>
    <w:p w:rsidR="006E529B" w:rsidP="006E4FB3" w:rsidRDefault="006E529B" w14:paraId="22241621" w14:textId="77777777">
      <w:pPr>
        <w:pStyle w:val="BodyText"/>
        <w:spacing w:before="6"/>
        <w:ind w:left="-426"/>
        <w:rPr>
          <w:sz w:val="23"/>
        </w:rPr>
      </w:pPr>
    </w:p>
    <w:p w:rsidR="006E529B" w:rsidP="006E4FB3" w:rsidRDefault="006E529B" w14:paraId="5D71A99B" w14:textId="2A69A40C">
      <w:pPr>
        <w:pStyle w:val="BodyText"/>
        <w:tabs>
          <w:tab w:val="left" w:pos="1408"/>
        </w:tabs>
        <w:ind w:left="-426"/>
      </w:pPr>
      <w:r>
        <w:t>Date:</w:t>
      </w:r>
      <w:r>
        <w:tab/>
      </w:r>
      <w:r w:rsidR="00450773">
        <w:t>13</w:t>
      </w:r>
      <w:r w:rsidRPr="00450773" w:rsidR="00450773">
        <w:rPr>
          <w:vertAlign w:val="superscript"/>
        </w:rPr>
        <w:t>th</w:t>
      </w:r>
      <w:r w:rsidR="00450773">
        <w:t xml:space="preserve"> July 2022</w:t>
      </w:r>
    </w:p>
    <w:p w:rsidR="006E529B" w:rsidP="006E4FB3" w:rsidRDefault="006E529B" w14:paraId="6C84934C" w14:textId="77777777">
      <w:pPr>
        <w:pStyle w:val="BodyText"/>
        <w:spacing w:before="10"/>
        <w:ind w:left="-426"/>
        <w:rPr>
          <w:sz w:val="23"/>
        </w:rPr>
      </w:pPr>
    </w:p>
    <w:p w:rsidR="006E529B" w:rsidP="006E4FB3" w:rsidRDefault="006E529B" w14:paraId="3513AB58" w14:textId="1A05CE9D">
      <w:pPr>
        <w:pStyle w:val="BodyText"/>
        <w:tabs>
          <w:tab w:val="left" w:pos="1408"/>
        </w:tabs>
        <w:spacing w:before="1"/>
        <w:ind w:left="-426"/>
      </w:pPr>
      <w:r>
        <w:t>From:</w:t>
      </w:r>
      <w:r>
        <w:tab/>
        <w:t>Jonathan Lewis – Director of Education</w:t>
      </w:r>
    </w:p>
    <w:p w:rsidR="000D11FA" w:rsidP="006E4FB3" w:rsidRDefault="000D11FA" w14:paraId="6BD4166E" w14:textId="77777777">
      <w:pPr>
        <w:pStyle w:val="BodyText"/>
        <w:tabs>
          <w:tab w:val="left" w:pos="1408"/>
        </w:tabs>
        <w:spacing w:before="1"/>
        <w:ind w:left="-426"/>
      </w:pPr>
    </w:p>
    <w:p w:rsidR="006E529B" w:rsidP="006E4FB3" w:rsidRDefault="006E529B" w14:paraId="4EA115A0" w14:textId="77777777">
      <w:pPr>
        <w:pStyle w:val="BodyText"/>
        <w:spacing w:before="4"/>
        <w:ind w:left="-426"/>
      </w:pPr>
    </w:p>
    <w:tbl>
      <w:tblPr>
        <w:tblW w:w="10425" w:type="dxa"/>
        <w:tblInd w:w="-851" w:type="dxa"/>
        <w:tblLayout w:type="fixed"/>
        <w:tblCellMar>
          <w:left w:w="0" w:type="dxa"/>
          <w:right w:w="0" w:type="dxa"/>
        </w:tblCellMar>
        <w:tblLook w:val="01E0" w:firstRow="1" w:lastRow="1" w:firstColumn="1" w:lastColumn="1" w:noHBand="0" w:noVBand="0"/>
      </w:tblPr>
      <w:tblGrid>
        <w:gridCol w:w="547"/>
        <w:gridCol w:w="9878"/>
      </w:tblGrid>
      <w:tr w:rsidRPr="00A70107" w:rsidR="006E529B" w:rsidTr="0042235B" w14:paraId="51818BBC" w14:textId="77777777">
        <w:trPr>
          <w:trHeight w:val="260"/>
        </w:trPr>
        <w:tc>
          <w:tcPr>
            <w:tcW w:w="547" w:type="dxa"/>
          </w:tcPr>
          <w:p w:rsidRPr="00A70107" w:rsidR="006E529B" w:rsidP="000D11FA" w:rsidRDefault="006E529B" w14:paraId="14C77FFB" w14:textId="77777777">
            <w:pPr>
              <w:pStyle w:val="TableParagraph"/>
              <w:spacing w:before="0" w:line="256" w:lineRule="exact"/>
              <w:jc w:val="left"/>
              <w:rPr>
                <w:b/>
                <w:sz w:val="24"/>
                <w:szCs w:val="24"/>
              </w:rPr>
            </w:pPr>
            <w:r w:rsidRPr="00A70107">
              <w:rPr>
                <w:b/>
                <w:sz w:val="24"/>
                <w:szCs w:val="24"/>
              </w:rPr>
              <w:t>1.0</w:t>
            </w:r>
          </w:p>
        </w:tc>
        <w:tc>
          <w:tcPr>
            <w:tcW w:w="9878" w:type="dxa"/>
          </w:tcPr>
          <w:p w:rsidRPr="00A70107" w:rsidR="006E529B" w:rsidP="005A1E28" w:rsidRDefault="002C7CC8" w14:paraId="44858664" w14:textId="3B709B3D">
            <w:pPr>
              <w:pStyle w:val="TableParagraph"/>
              <w:spacing w:before="0" w:line="256" w:lineRule="exact"/>
              <w:ind w:left="100"/>
              <w:jc w:val="left"/>
              <w:rPr>
                <w:b/>
                <w:sz w:val="24"/>
                <w:szCs w:val="24"/>
              </w:rPr>
            </w:pPr>
            <w:r>
              <w:rPr>
                <w:b/>
                <w:sz w:val="24"/>
                <w:szCs w:val="24"/>
              </w:rPr>
              <w:t>Introduction</w:t>
            </w:r>
          </w:p>
        </w:tc>
      </w:tr>
      <w:tr w:rsidRPr="00A70107" w:rsidR="006E529B" w:rsidTr="0042235B" w14:paraId="5D830D11" w14:textId="77777777">
        <w:trPr>
          <w:trHeight w:val="260"/>
        </w:trPr>
        <w:tc>
          <w:tcPr>
            <w:tcW w:w="547" w:type="dxa"/>
          </w:tcPr>
          <w:p w:rsidRPr="00A70107" w:rsidR="006E529B" w:rsidP="00A25435" w:rsidRDefault="006E529B" w14:paraId="71DA8A3A" w14:textId="77777777">
            <w:pPr>
              <w:pStyle w:val="TableParagraph"/>
              <w:spacing w:before="0"/>
              <w:jc w:val="left"/>
              <w:rPr>
                <w:sz w:val="24"/>
                <w:szCs w:val="24"/>
              </w:rPr>
            </w:pPr>
          </w:p>
        </w:tc>
        <w:tc>
          <w:tcPr>
            <w:tcW w:w="9878" w:type="dxa"/>
          </w:tcPr>
          <w:p w:rsidRPr="00A70107" w:rsidR="006E529B" w:rsidP="005A1E28" w:rsidRDefault="006E529B" w14:paraId="67F5D897" w14:textId="77777777">
            <w:pPr>
              <w:pStyle w:val="TableParagraph"/>
              <w:spacing w:before="0"/>
              <w:jc w:val="left"/>
              <w:rPr>
                <w:sz w:val="24"/>
                <w:szCs w:val="24"/>
              </w:rPr>
            </w:pPr>
          </w:p>
        </w:tc>
      </w:tr>
      <w:tr w:rsidRPr="00A70107" w:rsidR="006E529B" w:rsidTr="0042235B" w14:paraId="60FB5073" w14:textId="77777777">
        <w:trPr>
          <w:trHeight w:val="260"/>
        </w:trPr>
        <w:tc>
          <w:tcPr>
            <w:tcW w:w="547" w:type="dxa"/>
          </w:tcPr>
          <w:p w:rsidRPr="00A70107" w:rsidR="006E529B" w:rsidP="00A25435" w:rsidRDefault="006E529B" w14:paraId="07993AD1" w14:textId="77777777">
            <w:pPr>
              <w:pStyle w:val="TableParagraph"/>
              <w:spacing w:before="0"/>
              <w:jc w:val="left"/>
              <w:rPr>
                <w:sz w:val="24"/>
                <w:szCs w:val="24"/>
              </w:rPr>
            </w:pPr>
            <w:r w:rsidRPr="00A70107">
              <w:rPr>
                <w:sz w:val="24"/>
                <w:szCs w:val="24"/>
              </w:rPr>
              <w:t>1.1</w:t>
            </w:r>
          </w:p>
        </w:tc>
        <w:tc>
          <w:tcPr>
            <w:tcW w:w="9878" w:type="dxa"/>
          </w:tcPr>
          <w:p w:rsidRPr="00A70107" w:rsidR="006E529B" w:rsidP="008A4E97" w:rsidRDefault="00450773" w14:paraId="1C721E26" w14:textId="7764265F">
            <w:pPr>
              <w:pStyle w:val="TableParagraph"/>
              <w:tabs>
                <w:tab w:val="left" w:pos="168"/>
              </w:tabs>
              <w:jc w:val="left"/>
              <w:rPr>
                <w:sz w:val="24"/>
                <w:szCs w:val="24"/>
              </w:rPr>
            </w:pPr>
            <w:r>
              <w:rPr>
                <w:sz w:val="24"/>
                <w:szCs w:val="24"/>
              </w:rPr>
              <w:t>This paper provides Schools Forum with an analysis of maintained schools revenue accounts for the financial year 2021-22 and a summary of academy balances for the academic year 20-21</w:t>
            </w:r>
          </w:p>
        </w:tc>
      </w:tr>
      <w:tr w:rsidRPr="00A70107" w:rsidR="006E529B" w:rsidTr="0042235B" w14:paraId="5DCF91FF" w14:textId="77777777">
        <w:trPr>
          <w:trHeight w:val="260"/>
        </w:trPr>
        <w:tc>
          <w:tcPr>
            <w:tcW w:w="547" w:type="dxa"/>
          </w:tcPr>
          <w:p w:rsidRPr="00A70107" w:rsidR="006E529B" w:rsidP="00A25435" w:rsidRDefault="006E529B" w14:paraId="244A31E8" w14:textId="77777777">
            <w:pPr>
              <w:pStyle w:val="TableParagraph"/>
              <w:spacing w:before="0"/>
              <w:jc w:val="left"/>
              <w:rPr>
                <w:sz w:val="24"/>
                <w:szCs w:val="24"/>
              </w:rPr>
            </w:pPr>
          </w:p>
        </w:tc>
        <w:tc>
          <w:tcPr>
            <w:tcW w:w="9878" w:type="dxa"/>
          </w:tcPr>
          <w:p w:rsidRPr="00A70107" w:rsidR="006E529B" w:rsidP="005A1E28" w:rsidRDefault="006E529B" w14:paraId="4D695ADC" w14:textId="77777777">
            <w:pPr>
              <w:pStyle w:val="TableParagraph"/>
              <w:spacing w:before="0"/>
              <w:jc w:val="left"/>
              <w:rPr>
                <w:sz w:val="24"/>
                <w:szCs w:val="24"/>
              </w:rPr>
            </w:pPr>
          </w:p>
        </w:tc>
      </w:tr>
      <w:tr w:rsidRPr="00A70107" w:rsidR="008A4E97" w:rsidTr="0042235B" w14:paraId="56A9A3D9" w14:textId="77777777">
        <w:trPr>
          <w:trHeight w:val="260"/>
        </w:trPr>
        <w:tc>
          <w:tcPr>
            <w:tcW w:w="547" w:type="dxa"/>
          </w:tcPr>
          <w:p w:rsidRPr="00A70107" w:rsidR="008A4E97" w:rsidP="00A25435" w:rsidRDefault="008A4E97" w14:paraId="6592B0B8" w14:textId="77777777">
            <w:pPr>
              <w:pStyle w:val="TableParagraph"/>
              <w:spacing w:before="0"/>
              <w:jc w:val="left"/>
              <w:rPr>
                <w:sz w:val="24"/>
                <w:szCs w:val="24"/>
              </w:rPr>
            </w:pPr>
          </w:p>
        </w:tc>
        <w:tc>
          <w:tcPr>
            <w:tcW w:w="9878" w:type="dxa"/>
          </w:tcPr>
          <w:p w:rsidRPr="00A70107" w:rsidR="008A4E97" w:rsidP="005A1E28" w:rsidRDefault="008A4E97" w14:paraId="479267EC" w14:textId="77777777">
            <w:pPr>
              <w:pStyle w:val="TableParagraph"/>
              <w:spacing w:before="0"/>
              <w:jc w:val="left"/>
              <w:rPr>
                <w:sz w:val="24"/>
                <w:szCs w:val="24"/>
              </w:rPr>
            </w:pPr>
          </w:p>
        </w:tc>
      </w:tr>
      <w:tr w:rsidRPr="00A70107" w:rsidR="006E529B" w:rsidTr="0042235B" w14:paraId="29BA93EC" w14:textId="77777777">
        <w:trPr>
          <w:trHeight w:val="260"/>
        </w:trPr>
        <w:tc>
          <w:tcPr>
            <w:tcW w:w="547" w:type="dxa"/>
          </w:tcPr>
          <w:p w:rsidR="00577C1D" w:rsidP="00A25435" w:rsidRDefault="006E529B" w14:paraId="54F06F00" w14:textId="3153B60F">
            <w:pPr>
              <w:pStyle w:val="TableParagraph"/>
              <w:spacing w:before="0" w:line="258" w:lineRule="exact"/>
              <w:jc w:val="left"/>
              <w:rPr>
                <w:b/>
                <w:sz w:val="24"/>
                <w:szCs w:val="24"/>
              </w:rPr>
            </w:pPr>
            <w:r w:rsidRPr="00A70107">
              <w:rPr>
                <w:b/>
                <w:sz w:val="24"/>
                <w:szCs w:val="24"/>
              </w:rPr>
              <w:t>2.0</w:t>
            </w:r>
          </w:p>
          <w:p w:rsidR="00577C1D" w:rsidP="00A25435" w:rsidRDefault="00577C1D" w14:paraId="737C35A3" w14:textId="7F22A665">
            <w:pPr>
              <w:pStyle w:val="TableParagraph"/>
              <w:spacing w:before="0" w:line="258" w:lineRule="exact"/>
              <w:jc w:val="left"/>
              <w:rPr>
                <w:b/>
                <w:sz w:val="24"/>
                <w:szCs w:val="24"/>
              </w:rPr>
            </w:pPr>
          </w:p>
          <w:p w:rsidRPr="00577C1D" w:rsidR="00577C1D" w:rsidP="00A25435" w:rsidRDefault="00577C1D" w14:paraId="6F567E61" w14:textId="7AC1B6DA">
            <w:pPr>
              <w:pStyle w:val="TableParagraph"/>
              <w:spacing w:before="0" w:line="258" w:lineRule="exact"/>
              <w:jc w:val="left"/>
              <w:rPr>
                <w:bCs/>
                <w:sz w:val="24"/>
                <w:szCs w:val="24"/>
              </w:rPr>
            </w:pPr>
            <w:r w:rsidRPr="00577C1D">
              <w:rPr>
                <w:bCs/>
                <w:sz w:val="24"/>
                <w:szCs w:val="24"/>
              </w:rPr>
              <w:t xml:space="preserve">2.1 </w:t>
            </w:r>
          </w:p>
          <w:p w:rsidR="00577C1D" w:rsidP="00A25435" w:rsidRDefault="00577C1D" w14:paraId="59A5B2D7" w14:textId="77777777">
            <w:pPr>
              <w:pStyle w:val="TableParagraph"/>
              <w:spacing w:before="0" w:line="258" w:lineRule="exact"/>
              <w:jc w:val="left"/>
              <w:rPr>
                <w:b/>
                <w:sz w:val="24"/>
                <w:szCs w:val="24"/>
              </w:rPr>
            </w:pPr>
          </w:p>
          <w:p w:rsidRPr="00A70107" w:rsidR="00577C1D" w:rsidP="00A25435" w:rsidRDefault="00577C1D" w14:paraId="44FF90E0" w14:textId="26DF2546">
            <w:pPr>
              <w:pStyle w:val="TableParagraph"/>
              <w:spacing w:before="0" w:line="258" w:lineRule="exact"/>
              <w:jc w:val="left"/>
              <w:rPr>
                <w:b/>
                <w:sz w:val="24"/>
                <w:szCs w:val="24"/>
              </w:rPr>
            </w:pPr>
          </w:p>
        </w:tc>
        <w:tc>
          <w:tcPr>
            <w:tcW w:w="9878" w:type="dxa"/>
          </w:tcPr>
          <w:p w:rsidR="005761DD" w:rsidP="00A25435" w:rsidRDefault="00450773" w14:paraId="44BBFD21" w14:textId="77777777">
            <w:pPr>
              <w:pStyle w:val="TableParagraph"/>
              <w:spacing w:before="0" w:line="258" w:lineRule="exact"/>
              <w:jc w:val="left"/>
              <w:rPr>
                <w:b/>
                <w:sz w:val="24"/>
                <w:szCs w:val="24"/>
              </w:rPr>
            </w:pPr>
            <w:r>
              <w:rPr>
                <w:b/>
                <w:sz w:val="24"/>
                <w:szCs w:val="24"/>
              </w:rPr>
              <w:t xml:space="preserve">2021-22 </w:t>
            </w:r>
            <w:r w:rsidR="002C7CC8">
              <w:rPr>
                <w:b/>
                <w:sz w:val="24"/>
                <w:szCs w:val="24"/>
              </w:rPr>
              <w:t>Maintained Schools Revenue Balances</w:t>
            </w:r>
          </w:p>
          <w:p w:rsidR="00577C1D" w:rsidP="00A25435" w:rsidRDefault="00577C1D" w14:paraId="1B8C3F25" w14:textId="77777777">
            <w:pPr>
              <w:pStyle w:val="TableParagraph"/>
              <w:spacing w:before="0" w:line="258" w:lineRule="exact"/>
              <w:jc w:val="left"/>
              <w:rPr>
                <w:b/>
                <w:sz w:val="24"/>
                <w:szCs w:val="24"/>
              </w:rPr>
            </w:pPr>
          </w:p>
          <w:p w:rsidR="00577C1D" w:rsidP="00577C1D" w:rsidRDefault="00577C1D" w14:paraId="6E5F261C" w14:textId="77777777">
            <w:pPr>
              <w:pStyle w:val="TableParagraph"/>
              <w:tabs>
                <w:tab w:val="left" w:pos="157"/>
              </w:tabs>
              <w:spacing w:before="0"/>
              <w:jc w:val="left"/>
              <w:rPr>
                <w:sz w:val="24"/>
                <w:szCs w:val="24"/>
              </w:rPr>
            </w:pPr>
            <w:r>
              <w:rPr>
                <w:sz w:val="24"/>
                <w:szCs w:val="24"/>
              </w:rPr>
              <w:t xml:space="preserve">The table below details the 2021-22 year-end revenue balances by phase and makes comparisons to 2020-21. The figures exclude balances relating to community focused activities and cluster funding. </w:t>
            </w:r>
          </w:p>
          <w:p w:rsidRPr="00A70107" w:rsidR="00577C1D" w:rsidP="00A25435" w:rsidRDefault="00577C1D" w14:paraId="1B65C170" w14:textId="7AEAC4C9">
            <w:pPr>
              <w:pStyle w:val="TableParagraph"/>
              <w:spacing w:before="0" w:line="258" w:lineRule="exact"/>
              <w:jc w:val="left"/>
              <w:rPr>
                <w:b/>
                <w:sz w:val="24"/>
                <w:szCs w:val="24"/>
              </w:rPr>
            </w:pPr>
          </w:p>
        </w:tc>
      </w:tr>
      <w:tr w:rsidRPr="00A70107" w:rsidR="006E529B" w:rsidTr="00C617A6" w14:paraId="41EFE2BD" w14:textId="77777777">
        <w:tblPrEx>
          <w:tblCellMar>
            <w:left w:w="108" w:type="dxa"/>
            <w:right w:w="108" w:type="dxa"/>
          </w:tblCellMar>
        </w:tblPrEx>
        <w:trPr>
          <w:trHeight w:val="260"/>
        </w:trPr>
        <w:tc>
          <w:tcPr>
            <w:tcW w:w="547" w:type="dxa"/>
          </w:tcPr>
          <w:p w:rsidR="00786668" w:rsidP="00A25435" w:rsidRDefault="00786668" w14:paraId="72157380" w14:textId="5345FECD">
            <w:pPr>
              <w:pStyle w:val="TableParagraph"/>
              <w:spacing w:before="0"/>
              <w:jc w:val="left"/>
              <w:rPr>
                <w:sz w:val="24"/>
                <w:szCs w:val="24"/>
              </w:rPr>
            </w:pPr>
          </w:p>
          <w:p w:rsidR="00786668" w:rsidP="00A25435" w:rsidRDefault="00786668" w14:paraId="737BDFEC" w14:textId="724A668E">
            <w:pPr>
              <w:pStyle w:val="TableParagraph"/>
              <w:spacing w:before="0"/>
              <w:jc w:val="left"/>
              <w:rPr>
                <w:sz w:val="24"/>
                <w:szCs w:val="24"/>
              </w:rPr>
            </w:pPr>
          </w:p>
          <w:p w:rsidR="00786668" w:rsidP="00A25435" w:rsidRDefault="00786668" w14:paraId="2B4D3F50" w14:textId="4D829EED">
            <w:pPr>
              <w:pStyle w:val="TableParagraph"/>
              <w:spacing w:before="0"/>
              <w:jc w:val="left"/>
              <w:rPr>
                <w:sz w:val="24"/>
                <w:szCs w:val="24"/>
              </w:rPr>
            </w:pPr>
          </w:p>
          <w:p w:rsidR="00786668" w:rsidP="00A25435" w:rsidRDefault="00786668" w14:paraId="2717D326" w14:textId="580C259B">
            <w:pPr>
              <w:pStyle w:val="TableParagraph"/>
              <w:spacing w:before="0"/>
              <w:jc w:val="left"/>
              <w:rPr>
                <w:sz w:val="24"/>
                <w:szCs w:val="24"/>
              </w:rPr>
            </w:pPr>
          </w:p>
          <w:p w:rsidR="00786668" w:rsidP="00A25435" w:rsidRDefault="00786668" w14:paraId="650B8C1D" w14:textId="070B2874">
            <w:pPr>
              <w:pStyle w:val="TableParagraph"/>
              <w:spacing w:before="0"/>
              <w:jc w:val="left"/>
              <w:rPr>
                <w:sz w:val="24"/>
                <w:szCs w:val="24"/>
              </w:rPr>
            </w:pPr>
          </w:p>
          <w:p w:rsidR="00786668" w:rsidP="00A25435" w:rsidRDefault="00786668" w14:paraId="521B9D8A" w14:textId="0877A834">
            <w:pPr>
              <w:pStyle w:val="TableParagraph"/>
              <w:spacing w:before="0"/>
              <w:jc w:val="left"/>
              <w:rPr>
                <w:sz w:val="24"/>
                <w:szCs w:val="24"/>
              </w:rPr>
            </w:pPr>
          </w:p>
          <w:p w:rsidR="00786668" w:rsidP="00A25435" w:rsidRDefault="00786668" w14:paraId="717C8A09" w14:textId="51C86F7C">
            <w:pPr>
              <w:pStyle w:val="TableParagraph"/>
              <w:spacing w:before="0"/>
              <w:jc w:val="left"/>
              <w:rPr>
                <w:sz w:val="24"/>
                <w:szCs w:val="24"/>
              </w:rPr>
            </w:pPr>
          </w:p>
          <w:p w:rsidR="00786668" w:rsidP="00A25435" w:rsidRDefault="00786668" w14:paraId="1169B766" w14:textId="1FAD853F">
            <w:pPr>
              <w:pStyle w:val="TableParagraph"/>
              <w:spacing w:before="0"/>
              <w:jc w:val="left"/>
              <w:rPr>
                <w:sz w:val="24"/>
                <w:szCs w:val="24"/>
              </w:rPr>
            </w:pPr>
          </w:p>
          <w:p w:rsidR="00786668" w:rsidP="00A25435" w:rsidRDefault="00786668" w14:paraId="5EDD7669" w14:textId="711480A5">
            <w:pPr>
              <w:pStyle w:val="TableParagraph"/>
              <w:spacing w:before="0"/>
              <w:jc w:val="left"/>
              <w:rPr>
                <w:sz w:val="24"/>
                <w:szCs w:val="24"/>
              </w:rPr>
            </w:pPr>
          </w:p>
          <w:p w:rsidR="00786668" w:rsidP="00A25435" w:rsidRDefault="00786668" w14:paraId="3A98265D" w14:textId="7A049154">
            <w:pPr>
              <w:pStyle w:val="TableParagraph"/>
              <w:spacing w:before="0"/>
              <w:jc w:val="left"/>
              <w:rPr>
                <w:sz w:val="24"/>
                <w:szCs w:val="24"/>
              </w:rPr>
            </w:pPr>
          </w:p>
          <w:p w:rsidR="00786668" w:rsidP="00A25435" w:rsidRDefault="00786668" w14:paraId="1C4831AA" w14:textId="18A5FAD6">
            <w:pPr>
              <w:pStyle w:val="TableParagraph"/>
              <w:spacing w:before="0"/>
              <w:jc w:val="left"/>
              <w:rPr>
                <w:sz w:val="24"/>
                <w:szCs w:val="24"/>
              </w:rPr>
            </w:pPr>
          </w:p>
          <w:p w:rsidR="00786668" w:rsidP="00A25435" w:rsidRDefault="00786668" w14:paraId="26C2C5CE" w14:textId="78A6FA5E">
            <w:pPr>
              <w:pStyle w:val="TableParagraph"/>
              <w:spacing w:before="0"/>
              <w:jc w:val="left"/>
              <w:rPr>
                <w:sz w:val="24"/>
                <w:szCs w:val="24"/>
              </w:rPr>
            </w:pPr>
          </w:p>
          <w:p w:rsidR="00577C1D" w:rsidP="00A25435" w:rsidRDefault="00577C1D" w14:paraId="48293C72" w14:textId="08BD66D6">
            <w:pPr>
              <w:pStyle w:val="TableParagraph"/>
              <w:spacing w:before="0"/>
              <w:jc w:val="left"/>
              <w:rPr>
                <w:sz w:val="24"/>
                <w:szCs w:val="24"/>
              </w:rPr>
            </w:pPr>
          </w:p>
          <w:p w:rsidR="00786668" w:rsidP="00A25435" w:rsidRDefault="00786668" w14:paraId="2A439FB7" w14:textId="7F52F28A">
            <w:pPr>
              <w:pStyle w:val="TableParagraph"/>
              <w:spacing w:before="0"/>
              <w:jc w:val="left"/>
              <w:rPr>
                <w:sz w:val="24"/>
                <w:szCs w:val="24"/>
              </w:rPr>
            </w:pPr>
          </w:p>
          <w:p w:rsidR="00786668" w:rsidP="00A25435" w:rsidRDefault="00786668" w14:paraId="2C2F87C7" w14:textId="3678A9A5">
            <w:pPr>
              <w:pStyle w:val="TableParagraph"/>
              <w:spacing w:before="0"/>
              <w:jc w:val="left"/>
              <w:rPr>
                <w:sz w:val="24"/>
                <w:szCs w:val="24"/>
              </w:rPr>
            </w:pPr>
          </w:p>
          <w:p w:rsidR="00786668" w:rsidP="00A25435" w:rsidRDefault="00786668" w14:paraId="4E10FC4D" w14:textId="7CABFC3F">
            <w:pPr>
              <w:pStyle w:val="TableParagraph"/>
              <w:spacing w:before="0"/>
              <w:jc w:val="left"/>
              <w:rPr>
                <w:sz w:val="24"/>
                <w:szCs w:val="24"/>
              </w:rPr>
            </w:pPr>
          </w:p>
          <w:p w:rsidR="00786668" w:rsidP="00A25435" w:rsidRDefault="00786668" w14:paraId="6CF8FAC4" w14:textId="26B9110A">
            <w:pPr>
              <w:pStyle w:val="TableParagraph"/>
              <w:spacing w:before="0"/>
              <w:jc w:val="left"/>
              <w:rPr>
                <w:sz w:val="24"/>
                <w:szCs w:val="24"/>
              </w:rPr>
            </w:pPr>
          </w:p>
          <w:p w:rsidR="00786668" w:rsidP="00A25435" w:rsidRDefault="00786668" w14:paraId="24CF6C66" w14:textId="0DD70213">
            <w:pPr>
              <w:pStyle w:val="TableParagraph"/>
              <w:spacing w:before="0"/>
              <w:jc w:val="left"/>
              <w:rPr>
                <w:sz w:val="24"/>
                <w:szCs w:val="24"/>
              </w:rPr>
            </w:pPr>
          </w:p>
          <w:p w:rsidR="000D11FA" w:rsidP="00A25435" w:rsidRDefault="000D11FA" w14:paraId="0BB34C8F" w14:textId="77777777">
            <w:pPr>
              <w:pStyle w:val="TableParagraph"/>
              <w:spacing w:before="0"/>
              <w:jc w:val="left"/>
              <w:rPr>
                <w:sz w:val="24"/>
                <w:szCs w:val="24"/>
              </w:rPr>
            </w:pPr>
          </w:p>
          <w:p w:rsidR="000D11FA" w:rsidP="00A25435" w:rsidRDefault="000D11FA" w14:paraId="4B5CE3FC" w14:textId="77777777">
            <w:pPr>
              <w:pStyle w:val="TableParagraph"/>
              <w:spacing w:before="0"/>
              <w:jc w:val="left"/>
              <w:rPr>
                <w:sz w:val="24"/>
                <w:szCs w:val="24"/>
              </w:rPr>
            </w:pPr>
          </w:p>
          <w:p w:rsidR="000D11FA" w:rsidP="00A25435" w:rsidRDefault="000D11FA" w14:paraId="1B15B9DD" w14:textId="77777777">
            <w:pPr>
              <w:pStyle w:val="TableParagraph"/>
              <w:spacing w:before="0"/>
              <w:jc w:val="left"/>
              <w:rPr>
                <w:sz w:val="24"/>
                <w:szCs w:val="24"/>
              </w:rPr>
            </w:pPr>
          </w:p>
          <w:p w:rsidR="000D11FA" w:rsidP="00A25435" w:rsidRDefault="000D11FA" w14:paraId="2118833B" w14:textId="77777777">
            <w:pPr>
              <w:pStyle w:val="TableParagraph"/>
              <w:spacing w:before="0"/>
              <w:jc w:val="left"/>
              <w:rPr>
                <w:sz w:val="24"/>
                <w:szCs w:val="24"/>
              </w:rPr>
            </w:pPr>
          </w:p>
          <w:p w:rsidR="000D11FA" w:rsidP="00A25435" w:rsidRDefault="000D11FA" w14:paraId="7AA7C8F2" w14:textId="77777777">
            <w:pPr>
              <w:pStyle w:val="TableParagraph"/>
              <w:spacing w:before="0"/>
              <w:jc w:val="left"/>
              <w:rPr>
                <w:sz w:val="24"/>
                <w:szCs w:val="24"/>
              </w:rPr>
            </w:pPr>
          </w:p>
          <w:p w:rsidR="000D11FA" w:rsidP="00A25435" w:rsidRDefault="000D11FA" w14:paraId="2F5F1910" w14:textId="77777777">
            <w:pPr>
              <w:pStyle w:val="TableParagraph"/>
              <w:spacing w:before="0"/>
              <w:jc w:val="left"/>
              <w:rPr>
                <w:sz w:val="24"/>
                <w:szCs w:val="24"/>
              </w:rPr>
            </w:pPr>
          </w:p>
          <w:p w:rsidR="000D11FA" w:rsidP="00A25435" w:rsidRDefault="000D11FA" w14:paraId="3E2F9E9D" w14:textId="77777777">
            <w:pPr>
              <w:pStyle w:val="TableParagraph"/>
              <w:spacing w:before="0"/>
              <w:jc w:val="left"/>
              <w:rPr>
                <w:sz w:val="24"/>
                <w:szCs w:val="24"/>
              </w:rPr>
            </w:pPr>
          </w:p>
          <w:p w:rsidR="000D11FA" w:rsidP="00A25435" w:rsidRDefault="000D11FA" w14:paraId="378F3500" w14:textId="77777777">
            <w:pPr>
              <w:pStyle w:val="TableParagraph"/>
              <w:spacing w:before="0"/>
              <w:jc w:val="left"/>
              <w:rPr>
                <w:sz w:val="24"/>
                <w:szCs w:val="24"/>
              </w:rPr>
            </w:pPr>
          </w:p>
          <w:p w:rsidR="000D11FA" w:rsidP="00A25435" w:rsidRDefault="000D11FA" w14:paraId="3AC5059B" w14:textId="77777777">
            <w:pPr>
              <w:pStyle w:val="TableParagraph"/>
              <w:spacing w:before="0"/>
              <w:jc w:val="left"/>
              <w:rPr>
                <w:sz w:val="24"/>
                <w:szCs w:val="24"/>
              </w:rPr>
            </w:pPr>
          </w:p>
          <w:p w:rsidR="000D11FA" w:rsidP="00A25435" w:rsidRDefault="000D11FA" w14:paraId="2767EA64" w14:textId="77777777">
            <w:pPr>
              <w:pStyle w:val="TableParagraph"/>
              <w:spacing w:before="0"/>
              <w:jc w:val="left"/>
              <w:rPr>
                <w:sz w:val="24"/>
                <w:szCs w:val="24"/>
              </w:rPr>
            </w:pPr>
          </w:p>
          <w:p w:rsidR="000D11FA" w:rsidP="00A25435" w:rsidRDefault="000D11FA" w14:paraId="520DD528" w14:textId="77777777">
            <w:pPr>
              <w:pStyle w:val="TableParagraph"/>
              <w:spacing w:before="0"/>
              <w:jc w:val="left"/>
              <w:rPr>
                <w:sz w:val="24"/>
                <w:szCs w:val="24"/>
              </w:rPr>
            </w:pPr>
          </w:p>
          <w:p w:rsidR="000D11FA" w:rsidP="00A25435" w:rsidRDefault="000D11FA" w14:paraId="4DD863E3" w14:textId="77777777">
            <w:pPr>
              <w:pStyle w:val="TableParagraph"/>
              <w:spacing w:before="0"/>
              <w:jc w:val="left"/>
              <w:rPr>
                <w:sz w:val="24"/>
                <w:szCs w:val="24"/>
              </w:rPr>
            </w:pPr>
          </w:p>
          <w:p w:rsidR="000D11FA" w:rsidP="00A25435" w:rsidRDefault="000D11FA" w14:paraId="2D046387" w14:textId="77777777">
            <w:pPr>
              <w:pStyle w:val="TableParagraph"/>
              <w:spacing w:before="0"/>
              <w:jc w:val="left"/>
              <w:rPr>
                <w:sz w:val="24"/>
                <w:szCs w:val="24"/>
              </w:rPr>
            </w:pPr>
          </w:p>
          <w:p w:rsidR="000D11FA" w:rsidP="00A25435" w:rsidRDefault="000D11FA" w14:paraId="4E5B20D0" w14:textId="77777777">
            <w:pPr>
              <w:pStyle w:val="TableParagraph"/>
              <w:spacing w:before="0"/>
              <w:jc w:val="left"/>
              <w:rPr>
                <w:sz w:val="24"/>
                <w:szCs w:val="24"/>
              </w:rPr>
            </w:pPr>
          </w:p>
          <w:p w:rsidR="000D11FA" w:rsidP="00A25435" w:rsidRDefault="000D11FA" w14:paraId="313628D8" w14:textId="77777777">
            <w:pPr>
              <w:pStyle w:val="TableParagraph"/>
              <w:spacing w:before="0"/>
              <w:jc w:val="left"/>
              <w:rPr>
                <w:sz w:val="24"/>
                <w:szCs w:val="24"/>
              </w:rPr>
            </w:pPr>
          </w:p>
          <w:p w:rsidR="000D11FA" w:rsidP="00A25435" w:rsidRDefault="000D11FA" w14:paraId="0C848B92" w14:textId="77777777">
            <w:pPr>
              <w:pStyle w:val="TableParagraph"/>
              <w:spacing w:before="0"/>
              <w:jc w:val="left"/>
              <w:rPr>
                <w:sz w:val="24"/>
                <w:szCs w:val="24"/>
              </w:rPr>
            </w:pPr>
          </w:p>
          <w:p w:rsidR="000D11FA" w:rsidP="00A25435" w:rsidRDefault="000D11FA" w14:paraId="7FD0B8A9" w14:textId="77777777">
            <w:pPr>
              <w:pStyle w:val="TableParagraph"/>
              <w:spacing w:before="0"/>
              <w:jc w:val="left"/>
              <w:rPr>
                <w:sz w:val="24"/>
                <w:szCs w:val="24"/>
              </w:rPr>
            </w:pPr>
          </w:p>
          <w:p w:rsidR="000D11FA" w:rsidP="00A25435" w:rsidRDefault="000D11FA" w14:paraId="61EC8BFB" w14:textId="77777777">
            <w:pPr>
              <w:pStyle w:val="TableParagraph"/>
              <w:spacing w:before="0"/>
              <w:jc w:val="left"/>
              <w:rPr>
                <w:sz w:val="24"/>
                <w:szCs w:val="24"/>
              </w:rPr>
            </w:pPr>
          </w:p>
          <w:p w:rsidR="000D11FA" w:rsidP="00A25435" w:rsidRDefault="000D11FA" w14:paraId="1C79032A" w14:textId="77777777">
            <w:pPr>
              <w:pStyle w:val="TableParagraph"/>
              <w:spacing w:before="0"/>
              <w:jc w:val="left"/>
              <w:rPr>
                <w:sz w:val="24"/>
                <w:szCs w:val="24"/>
              </w:rPr>
            </w:pPr>
          </w:p>
          <w:p w:rsidR="000D11FA" w:rsidP="00A25435" w:rsidRDefault="000D11FA" w14:paraId="3647AD91" w14:textId="77777777">
            <w:pPr>
              <w:pStyle w:val="TableParagraph"/>
              <w:spacing w:before="0"/>
              <w:jc w:val="left"/>
              <w:rPr>
                <w:sz w:val="24"/>
                <w:szCs w:val="24"/>
              </w:rPr>
            </w:pPr>
          </w:p>
          <w:p w:rsidR="000D11FA" w:rsidP="00A25435" w:rsidRDefault="000D11FA" w14:paraId="440778CD" w14:textId="77777777">
            <w:pPr>
              <w:pStyle w:val="TableParagraph"/>
              <w:spacing w:before="0"/>
              <w:jc w:val="left"/>
              <w:rPr>
                <w:sz w:val="24"/>
                <w:szCs w:val="24"/>
              </w:rPr>
            </w:pPr>
          </w:p>
          <w:p w:rsidR="000D11FA" w:rsidP="00A25435" w:rsidRDefault="000D11FA" w14:paraId="66253B35" w14:textId="77777777">
            <w:pPr>
              <w:pStyle w:val="TableParagraph"/>
              <w:spacing w:before="0"/>
              <w:jc w:val="left"/>
              <w:rPr>
                <w:sz w:val="24"/>
                <w:szCs w:val="24"/>
              </w:rPr>
            </w:pPr>
          </w:p>
          <w:p w:rsidR="000D11FA" w:rsidP="00A25435" w:rsidRDefault="000D11FA" w14:paraId="40840E9C" w14:textId="77777777">
            <w:pPr>
              <w:pStyle w:val="TableParagraph"/>
              <w:spacing w:before="0"/>
              <w:jc w:val="left"/>
              <w:rPr>
                <w:sz w:val="24"/>
                <w:szCs w:val="24"/>
              </w:rPr>
            </w:pPr>
          </w:p>
          <w:p w:rsidR="000D11FA" w:rsidP="00A25435" w:rsidRDefault="000D11FA" w14:paraId="6FB105D8" w14:textId="77777777">
            <w:pPr>
              <w:pStyle w:val="TableParagraph"/>
              <w:spacing w:before="0"/>
              <w:jc w:val="left"/>
              <w:rPr>
                <w:sz w:val="24"/>
                <w:szCs w:val="24"/>
              </w:rPr>
            </w:pPr>
          </w:p>
          <w:p w:rsidR="000D11FA" w:rsidP="00A25435" w:rsidRDefault="000D11FA" w14:paraId="550CE22D" w14:textId="77777777">
            <w:pPr>
              <w:pStyle w:val="TableParagraph"/>
              <w:spacing w:before="0"/>
              <w:jc w:val="left"/>
              <w:rPr>
                <w:sz w:val="24"/>
                <w:szCs w:val="24"/>
              </w:rPr>
            </w:pPr>
          </w:p>
          <w:p w:rsidR="000D11FA" w:rsidP="00A25435" w:rsidRDefault="000D11FA" w14:paraId="4579C1EA" w14:textId="77777777">
            <w:pPr>
              <w:pStyle w:val="TableParagraph"/>
              <w:spacing w:before="0"/>
              <w:jc w:val="left"/>
              <w:rPr>
                <w:sz w:val="24"/>
                <w:szCs w:val="24"/>
              </w:rPr>
            </w:pPr>
          </w:p>
          <w:p w:rsidR="000D11FA" w:rsidP="00A25435" w:rsidRDefault="000D11FA" w14:paraId="0A64D5D9" w14:textId="77777777">
            <w:pPr>
              <w:pStyle w:val="TableParagraph"/>
              <w:spacing w:before="0"/>
              <w:jc w:val="left"/>
              <w:rPr>
                <w:sz w:val="24"/>
                <w:szCs w:val="24"/>
              </w:rPr>
            </w:pPr>
          </w:p>
          <w:p w:rsidR="000D11FA" w:rsidP="00A25435" w:rsidRDefault="000D11FA" w14:paraId="35B84394" w14:textId="405D38BB">
            <w:pPr>
              <w:pStyle w:val="TableParagraph"/>
              <w:spacing w:before="0"/>
              <w:jc w:val="left"/>
              <w:rPr>
                <w:sz w:val="24"/>
                <w:szCs w:val="24"/>
              </w:rPr>
            </w:pPr>
          </w:p>
          <w:p w:rsidRPr="00A70107" w:rsidR="000D11FA" w:rsidP="00A25435" w:rsidRDefault="000D11FA" w14:paraId="1F933C08" w14:textId="596C95B6">
            <w:pPr>
              <w:pStyle w:val="TableParagraph"/>
              <w:spacing w:before="0"/>
              <w:jc w:val="left"/>
              <w:rPr>
                <w:sz w:val="24"/>
                <w:szCs w:val="24"/>
              </w:rPr>
            </w:pPr>
            <w:r>
              <w:rPr>
                <w:sz w:val="24"/>
                <w:szCs w:val="24"/>
              </w:rPr>
              <w:t xml:space="preserve"> </w:t>
            </w:r>
          </w:p>
        </w:tc>
        <w:tc>
          <w:tcPr>
            <w:tcW w:w="9878" w:type="dxa"/>
          </w:tcPr>
          <w:p w:rsidR="00890E07" w:rsidP="005A1E28" w:rsidRDefault="00890E07" w14:paraId="5D1B1752" w14:textId="77777777">
            <w:pPr>
              <w:pStyle w:val="TableParagraph"/>
              <w:tabs>
                <w:tab w:val="left" w:pos="157"/>
              </w:tabs>
              <w:spacing w:before="0"/>
              <w:jc w:val="left"/>
              <w:rPr>
                <w:sz w:val="24"/>
                <w:szCs w:val="24"/>
              </w:rPr>
            </w:pPr>
          </w:p>
          <w:tbl>
            <w:tblPr>
              <w:tblW w:w="6816" w:type="dxa"/>
              <w:tblLayout w:type="fixed"/>
              <w:tblLook w:val="04A0" w:firstRow="1" w:lastRow="0" w:firstColumn="1" w:lastColumn="0" w:noHBand="0" w:noVBand="1"/>
            </w:tblPr>
            <w:tblGrid>
              <w:gridCol w:w="1429"/>
              <w:gridCol w:w="993"/>
              <w:gridCol w:w="1134"/>
              <w:gridCol w:w="1134"/>
              <w:gridCol w:w="1134"/>
              <w:gridCol w:w="992"/>
            </w:tblGrid>
            <w:tr w:rsidRPr="00890E07" w:rsidR="007D4FF9" w:rsidTr="00224E0D" w14:paraId="145B46B1" w14:textId="77777777">
              <w:trPr>
                <w:trHeight w:val="1500"/>
              </w:trPr>
              <w:tc>
                <w:tcPr>
                  <w:tcW w:w="1429"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224E0D" w:rsidR="00890E07" w:rsidP="00890E07" w:rsidRDefault="00890E07" w14:paraId="44D77470" w14:textId="77777777">
                  <w:pPr>
                    <w:widowControl/>
                    <w:autoSpaceDE/>
                    <w:autoSpaceDN/>
                    <w:jc w:val="center"/>
                    <w:rPr>
                      <w:rFonts w:ascii="Calibri" w:hAnsi="Calibri" w:eastAsia="Times New Roman" w:cs="Calibri"/>
                      <w:b/>
                      <w:bCs/>
                      <w:lang w:val="en-GB" w:eastAsia="en-GB"/>
                    </w:rPr>
                  </w:pPr>
                  <w:r w:rsidRPr="00224E0D">
                    <w:rPr>
                      <w:rFonts w:ascii="Calibri" w:hAnsi="Calibri" w:eastAsia="Times New Roman" w:cs="Calibri"/>
                      <w:b/>
                      <w:bCs/>
                      <w:lang w:val="en-GB" w:eastAsia="en-GB"/>
                    </w:rPr>
                    <w:t>Phase</w:t>
                  </w:r>
                </w:p>
              </w:tc>
              <w:tc>
                <w:tcPr>
                  <w:tcW w:w="993" w:type="dxa"/>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224E0D" w:rsidR="00890E07" w:rsidP="00890E07" w:rsidRDefault="00890E07" w14:paraId="189ACC60" w14:textId="77777777">
                  <w:pPr>
                    <w:widowControl/>
                    <w:autoSpaceDE/>
                    <w:autoSpaceDN/>
                    <w:jc w:val="center"/>
                    <w:rPr>
                      <w:rFonts w:ascii="Calibri" w:hAnsi="Calibri" w:eastAsia="Times New Roman" w:cs="Calibri"/>
                      <w:b/>
                      <w:bCs/>
                      <w:lang w:val="en-GB" w:eastAsia="en-GB"/>
                    </w:rPr>
                  </w:pPr>
                  <w:r w:rsidRPr="00224E0D">
                    <w:rPr>
                      <w:rFonts w:ascii="Calibri" w:hAnsi="Calibri" w:eastAsia="Times New Roman" w:cs="Calibri"/>
                      <w:b/>
                      <w:bCs/>
                      <w:lang w:val="en-GB" w:eastAsia="en-GB"/>
                    </w:rPr>
                    <w:t>No of Schools</w:t>
                  </w:r>
                </w:p>
              </w:tc>
              <w:tc>
                <w:tcPr>
                  <w:tcW w:w="1134" w:type="dxa"/>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224E0D" w:rsidR="00890E07" w:rsidP="00890E07" w:rsidRDefault="00890E07" w14:paraId="059F30A2" w14:textId="7CB60E0B">
                  <w:pPr>
                    <w:widowControl/>
                    <w:autoSpaceDE/>
                    <w:autoSpaceDN/>
                    <w:jc w:val="center"/>
                    <w:rPr>
                      <w:rFonts w:ascii="Calibri" w:hAnsi="Calibri" w:eastAsia="Times New Roman" w:cs="Calibri"/>
                      <w:b/>
                      <w:bCs/>
                      <w:lang w:val="en-GB" w:eastAsia="en-GB"/>
                    </w:rPr>
                  </w:pPr>
                  <w:proofErr w:type="gramStart"/>
                  <w:r w:rsidRPr="00224E0D">
                    <w:rPr>
                      <w:rFonts w:ascii="Calibri" w:hAnsi="Calibri" w:eastAsia="Times New Roman" w:cs="Calibri"/>
                      <w:b/>
                      <w:bCs/>
                      <w:lang w:val="en-GB" w:eastAsia="en-GB"/>
                    </w:rPr>
                    <w:t>Balances  31</w:t>
                  </w:r>
                  <w:proofErr w:type="gramEnd"/>
                  <w:r w:rsidRPr="00224E0D">
                    <w:rPr>
                      <w:rFonts w:ascii="Calibri" w:hAnsi="Calibri" w:eastAsia="Times New Roman" w:cs="Calibri"/>
                      <w:b/>
                      <w:bCs/>
                      <w:lang w:val="en-GB" w:eastAsia="en-GB"/>
                    </w:rPr>
                    <w:t>st March 2021          £</w:t>
                  </w:r>
                </w:p>
              </w:tc>
              <w:tc>
                <w:tcPr>
                  <w:tcW w:w="1134" w:type="dxa"/>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00C617A6" w:rsidP="00890E07" w:rsidRDefault="00890E07" w14:paraId="0EA00A78" w14:textId="77777777">
                  <w:pPr>
                    <w:widowControl/>
                    <w:autoSpaceDE/>
                    <w:autoSpaceDN/>
                    <w:jc w:val="center"/>
                    <w:rPr>
                      <w:rFonts w:ascii="Calibri" w:hAnsi="Calibri" w:eastAsia="Times New Roman" w:cs="Calibri"/>
                      <w:b/>
                      <w:bCs/>
                      <w:lang w:val="en-GB" w:eastAsia="en-GB"/>
                    </w:rPr>
                  </w:pPr>
                  <w:r w:rsidRPr="00224E0D">
                    <w:rPr>
                      <w:rFonts w:ascii="Calibri" w:hAnsi="Calibri" w:eastAsia="Times New Roman" w:cs="Calibri"/>
                      <w:b/>
                      <w:bCs/>
                      <w:lang w:val="en-GB" w:eastAsia="en-GB"/>
                    </w:rPr>
                    <w:t xml:space="preserve">Balances </w:t>
                  </w:r>
                </w:p>
                <w:p w:rsidRPr="00224E0D" w:rsidR="00890E07" w:rsidP="00890E07" w:rsidRDefault="00890E07" w14:paraId="47195B57" w14:textId="28EC5C5C">
                  <w:pPr>
                    <w:widowControl/>
                    <w:autoSpaceDE/>
                    <w:autoSpaceDN/>
                    <w:jc w:val="center"/>
                    <w:rPr>
                      <w:rFonts w:ascii="Calibri" w:hAnsi="Calibri" w:eastAsia="Times New Roman" w:cs="Calibri"/>
                      <w:b/>
                      <w:bCs/>
                      <w:lang w:val="en-GB" w:eastAsia="en-GB"/>
                    </w:rPr>
                  </w:pPr>
                  <w:r w:rsidRPr="00224E0D">
                    <w:rPr>
                      <w:rFonts w:ascii="Calibri" w:hAnsi="Calibri" w:eastAsia="Times New Roman" w:cs="Calibri"/>
                      <w:b/>
                      <w:bCs/>
                      <w:lang w:val="en-GB" w:eastAsia="en-GB"/>
                    </w:rPr>
                    <w:t>31st March 2022          £</w:t>
                  </w:r>
                </w:p>
              </w:tc>
              <w:tc>
                <w:tcPr>
                  <w:tcW w:w="1134" w:type="dxa"/>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224E0D" w:rsidR="00890E07" w:rsidP="00890E07" w:rsidRDefault="00890E07" w14:paraId="32D2040E" w14:textId="77777777">
                  <w:pPr>
                    <w:widowControl/>
                    <w:autoSpaceDE/>
                    <w:autoSpaceDN/>
                    <w:jc w:val="center"/>
                    <w:rPr>
                      <w:rFonts w:ascii="Calibri" w:hAnsi="Calibri" w:eastAsia="Times New Roman" w:cs="Calibri"/>
                      <w:b/>
                      <w:bCs/>
                      <w:lang w:val="en-GB" w:eastAsia="en-GB"/>
                    </w:rPr>
                  </w:pPr>
                  <w:r w:rsidRPr="00224E0D">
                    <w:rPr>
                      <w:rFonts w:ascii="Calibri" w:hAnsi="Calibri" w:eastAsia="Times New Roman" w:cs="Calibri"/>
                      <w:b/>
                      <w:bCs/>
                      <w:lang w:val="en-GB" w:eastAsia="en-GB"/>
                    </w:rPr>
                    <w:t>Change</w:t>
                  </w:r>
                </w:p>
              </w:tc>
              <w:tc>
                <w:tcPr>
                  <w:tcW w:w="992" w:type="dxa"/>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224E0D" w:rsidR="00890E07" w:rsidP="00890E07" w:rsidRDefault="00890E07" w14:paraId="3DF252B2" w14:textId="65845356">
                  <w:pPr>
                    <w:widowControl/>
                    <w:autoSpaceDE/>
                    <w:autoSpaceDN/>
                    <w:jc w:val="center"/>
                    <w:rPr>
                      <w:rFonts w:ascii="Calibri" w:hAnsi="Calibri" w:eastAsia="Times New Roman" w:cs="Calibri"/>
                      <w:b/>
                      <w:bCs/>
                      <w:lang w:val="en-GB" w:eastAsia="en-GB"/>
                    </w:rPr>
                  </w:pPr>
                  <w:r w:rsidRPr="00224E0D">
                    <w:rPr>
                      <w:rFonts w:ascii="Calibri" w:hAnsi="Calibri" w:eastAsia="Times New Roman" w:cs="Calibri"/>
                      <w:b/>
                      <w:bCs/>
                      <w:lang w:val="en-GB" w:eastAsia="en-GB"/>
                    </w:rPr>
                    <w:t xml:space="preserve">% </w:t>
                  </w:r>
                  <w:r w:rsidR="00224E0D">
                    <w:rPr>
                      <w:rFonts w:ascii="Calibri" w:hAnsi="Calibri" w:eastAsia="Times New Roman" w:cs="Calibri"/>
                      <w:b/>
                      <w:bCs/>
                      <w:lang w:val="en-GB" w:eastAsia="en-GB"/>
                    </w:rPr>
                    <w:t>C</w:t>
                  </w:r>
                  <w:r w:rsidRPr="00224E0D">
                    <w:rPr>
                      <w:rFonts w:ascii="Calibri" w:hAnsi="Calibri" w:eastAsia="Times New Roman" w:cs="Calibri"/>
                      <w:b/>
                      <w:bCs/>
                      <w:lang w:val="en-GB" w:eastAsia="en-GB"/>
                    </w:rPr>
                    <w:t>hange</w:t>
                  </w:r>
                </w:p>
              </w:tc>
            </w:tr>
            <w:tr w:rsidRPr="00890E07" w:rsidR="007D4FF9" w:rsidTr="007D4FF9" w14:paraId="5588098A" w14:textId="77777777">
              <w:trPr>
                <w:trHeight w:val="300"/>
              </w:trPr>
              <w:tc>
                <w:tcPr>
                  <w:tcW w:w="1429" w:type="dxa"/>
                  <w:tcBorders>
                    <w:top w:val="nil"/>
                    <w:left w:val="single" w:color="auto" w:sz="4" w:space="0"/>
                    <w:bottom w:val="single" w:color="auto" w:sz="4" w:space="0"/>
                    <w:right w:val="single" w:color="auto" w:sz="4" w:space="0"/>
                  </w:tcBorders>
                  <w:shd w:val="clear" w:color="auto" w:fill="auto"/>
                  <w:noWrap/>
                  <w:vAlign w:val="bottom"/>
                  <w:hideMark/>
                </w:tcPr>
                <w:p w:rsidRPr="00890E07" w:rsidR="00890E07" w:rsidP="00890E07" w:rsidRDefault="00890E07" w14:paraId="6D6DE24C" w14:textId="77777777">
                  <w:pPr>
                    <w:widowControl/>
                    <w:autoSpaceDE/>
                    <w:autoSpaceDN/>
                    <w:rPr>
                      <w:rFonts w:ascii="Calibri" w:hAnsi="Calibri" w:eastAsia="Times New Roman" w:cs="Calibri"/>
                      <w:color w:val="000000"/>
                      <w:lang w:val="en-GB" w:eastAsia="en-GB"/>
                    </w:rPr>
                  </w:pPr>
                  <w:r w:rsidRPr="00890E07">
                    <w:rPr>
                      <w:rFonts w:ascii="Calibri" w:hAnsi="Calibri" w:eastAsia="Times New Roman" w:cs="Calibri"/>
                      <w:color w:val="000000"/>
                      <w:lang w:val="en-GB" w:eastAsia="en-GB"/>
                    </w:rPr>
                    <w:t>Nursery</w:t>
                  </w:r>
                </w:p>
              </w:tc>
              <w:tc>
                <w:tcPr>
                  <w:tcW w:w="993" w:type="dxa"/>
                  <w:tcBorders>
                    <w:top w:val="nil"/>
                    <w:left w:val="nil"/>
                    <w:bottom w:val="single" w:color="auto" w:sz="4" w:space="0"/>
                    <w:right w:val="single" w:color="auto" w:sz="4" w:space="0"/>
                  </w:tcBorders>
                  <w:shd w:val="clear" w:color="auto" w:fill="auto"/>
                  <w:noWrap/>
                  <w:vAlign w:val="bottom"/>
                  <w:hideMark/>
                </w:tcPr>
                <w:p w:rsidRPr="00890E07" w:rsidR="00890E07" w:rsidP="00890E07" w:rsidRDefault="00890E07" w14:paraId="2B8F6769" w14:textId="77777777">
                  <w:pPr>
                    <w:widowControl/>
                    <w:autoSpaceDE/>
                    <w:autoSpaceDN/>
                    <w:jc w:val="right"/>
                    <w:rPr>
                      <w:rFonts w:ascii="Calibri" w:hAnsi="Calibri" w:eastAsia="Times New Roman" w:cs="Calibri"/>
                      <w:color w:val="000000"/>
                      <w:lang w:val="en-GB" w:eastAsia="en-GB"/>
                    </w:rPr>
                  </w:pPr>
                  <w:r w:rsidRPr="00890E07">
                    <w:rPr>
                      <w:rFonts w:ascii="Calibri" w:hAnsi="Calibri" w:eastAsia="Times New Roman" w:cs="Calibri"/>
                      <w:color w:val="000000"/>
                      <w:lang w:val="en-GB" w:eastAsia="en-GB"/>
                    </w:rPr>
                    <w:t>1</w:t>
                  </w:r>
                </w:p>
              </w:tc>
              <w:tc>
                <w:tcPr>
                  <w:tcW w:w="1134" w:type="dxa"/>
                  <w:tcBorders>
                    <w:top w:val="nil"/>
                    <w:left w:val="nil"/>
                    <w:bottom w:val="single" w:color="auto" w:sz="4" w:space="0"/>
                    <w:right w:val="single" w:color="auto" w:sz="4" w:space="0"/>
                  </w:tcBorders>
                  <w:shd w:val="clear" w:color="auto" w:fill="auto"/>
                  <w:noWrap/>
                  <w:vAlign w:val="bottom"/>
                  <w:hideMark/>
                </w:tcPr>
                <w:p w:rsidRPr="00890E07" w:rsidR="00890E07" w:rsidP="00890E07" w:rsidRDefault="00890E07" w14:paraId="377EECE7" w14:textId="77777777">
                  <w:pPr>
                    <w:widowControl/>
                    <w:autoSpaceDE/>
                    <w:autoSpaceDN/>
                    <w:jc w:val="right"/>
                    <w:rPr>
                      <w:rFonts w:ascii="Calibri" w:hAnsi="Calibri" w:eastAsia="Times New Roman" w:cs="Calibri"/>
                      <w:color w:val="000000"/>
                      <w:lang w:val="en-GB" w:eastAsia="en-GB"/>
                    </w:rPr>
                  </w:pPr>
                  <w:r w:rsidRPr="00890E07">
                    <w:rPr>
                      <w:rFonts w:ascii="Calibri" w:hAnsi="Calibri" w:eastAsia="Times New Roman" w:cs="Calibri"/>
                      <w:color w:val="000000"/>
                      <w:lang w:val="en-GB" w:eastAsia="en-GB"/>
                    </w:rPr>
                    <w:t>36,029</w:t>
                  </w:r>
                </w:p>
              </w:tc>
              <w:tc>
                <w:tcPr>
                  <w:tcW w:w="1134" w:type="dxa"/>
                  <w:tcBorders>
                    <w:top w:val="nil"/>
                    <w:left w:val="nil"/>
                    <w:bottom w:val="single" w:color="auto" w:sz="4" w:space="0"/>
                    <w:right w:val="single" w:color="auto" w:sz="4" w:space="0"/>
                  </w:tcBorders>
                  <w:shd w:val="clear" w:color="auto" w:fill="auto"/>
                  <w:noWrap/>
                  <w:vAlign w:val="bottom"/>
                  <w:hideMark/>
                </w:tcPr>
                <w:p w:rsidRPr="00890E07" w:rsidR="00890E07" w:rsidP="00890E07" w:rsidRDefault="00890E07" w14:paraId="1B5337E1" w14:textId="77777777">
                  <w:pPr>
                    <w:widowControl/>
                    <w:autoSpaceDE/>
                    <w:autoSpaceDN/>
                    <w:jc w:val="right"/>
                    <w:rPr>
                      <w:rFonts w:ascii="Calibri" w:hAnsi="Calibri" w:eastAsia="Times New Roman" w:cs="Calibri"/>
                      <w:color w:val="000000"/>
                      <w:lang w:val="en-GB" w:eastAsia="en-GB"/>
                    </w:rPr>
                  </w:pPr>
                  <w:r w:rsidRPr="00890E07">
                    <w:rPr>
                      <w:rFonts w:ascii="Calibri" w:hAnsi="Calibri" w:eastAsia="Times New Roman" w:cs="Calibri"/>
                      <w:color w:val="000000"/>
                      <w:lang w:val="en-GB" w:eastAsia="en-GB"/>
                    </w:rPr>
                    <w:t>56,858</w:t>
                  </w:r>
                </w:p>
              </w:tc>
              <w:tc>
                <w:tcPr>
                  <w:tcW w:w="1134" w:type="dxa"/>
                  <w:tcBorders>
                    <w:top w:val="nil"/>
                    <w:left w:val="nil"/>
                    <w:bottom w:val="single" w:color="auto" w:sz="4" w:space="0"/>
                    <w:right w:val="single" w:color="auto" w:sz="4" w:space="0"/>
                  </w:tcBorders>
                  <w:shd w:val="clear" w:color="auto" w:fill="auto"/>
                  <w:noWrap/>
                  <w:vAlign w:val="bottom"/>
                  <w:hideMark/>
                </w:tcPr>
                <w:p w:rsidRPr="00890E07" w:rsidR="00890E07" w:rsidP="00890E07" w:rsidRDefault="00890E07" w14:paraId="62938409" w14:textId="77777777">
                  <w:pPr>
                    <w:widowControl/>
                    <w:autoSpaceDE/>
                    <w:autoSpaceDN/>
                    <w:jc w:val="right"/>
                    <w:rPr>
                      <w:rFonts w:ascii="Calibri" w:hAnsi="Calibri" w:eastAsia="Times New Roman" w:cs="Calibri"/>
                      <w:color w:val="000000"/>
                      <w:lang w:val="en-GB" w:eastAsia="en-GB"/>
                    </w:rPr>
                  </w:pPr>
                  <w:r w:rsidRPr="00890E07">
                    <w:rPr>
                      <w:rFonts w:ascii="Calibri" w:hAnsi="Calibri" w:eastAsia="Times New Roman" w:cs="Calibri"/>
                      <w:color w:val="000000"/>
                      <w:lang w:val="en-GB" w:eastAsia="en-GB"/>
                    </w:rPr>
                    <w:t xml:space="preserve">20,829 </w:t>
                  </w:r>
                </w:p>
              </w:tc>
              <w:tc>
                <w:tcPr>
                  <w:tcW w:w="992" w:type="dxa"/>
                  <w:tcBorders>
                    <w:top w:val="nil"/>
                    <w:left w:val="nil"/>
                    <w:bottom w:val="single" w:color="auto" w:sz="4" w:space="0"/>
                    <w:right w:val="single" w:color="auto" w:sz="4" w:space="0"/>
                  </w:tcBorders>
                  <w:shd w:val="clear" w:color="auto" w:fill="auto"/>
                  <w:noWrap/>
                  <w:vAlign w:val="bottom"/>
                  <w:hideMark/>
                </w:tcPr>
                <w:p w:rsidRPr="00890E07" w:rsidR="00890E07" w:rsidP="00890E07" w:rsidRDefault="00890E07" w14:paraId="503D2A2E" w14:textId="77777777">
                  <w:pPr>
                    <w:widowControl/>
                    <w:autoSpaceDE/>
                    <w:autoSpaceDN/>
                    <w:jc w:val="right"/>
                    <w:rPr>
                      <w:rFonts w:ascii="Calibri" w:hAnsi="Calibri" w:eastAsia="Times New Roman" w:cs="Calibri"/>
                      <w:color w:val="000000"/>
                      <w:lang w:val="en-GB" w:eastAsia="en-GB"/>
                    </w:rPr>
                  </w:pPr>
                  <w:r w:rsidRPr="00890E07">
                    <w:rPr>
                      <w:rFonts w:ascii="Calibri" w:hAnsi="Calibri" w:eastAsia="Times New Roman" w:cs="Calibri"/>
                      <w:color w:val="000000"/>
                      <w:lang w:val="en-GB" w:eastAsia="en-GB"/>
                    </w:rPr>
                    <w:t>57.81%</w:t>
                  </w:r>
                </w:p>
              </w:tc>
            </w:tr>
            <w:tr w:rsidRPr="00890E07" w:rsidR="007D4FF9" w:rsidTr="007D4FF9" w14:paraId="611CCABE" w14:textId="77777777">
              <w:trPr>
                <w:trHeight w:val="300"/>
              </w:trPr>
              <w:tc>
                <w:tcPr>
                  <w:tcW w:w="1429" w:type="dxa"/>
                  <w:tcBorders>
                    <w:top w:val="nil"/>
                    <w:left w:val="single" w:color="auto" w:sz="4" w:space="0"/>
                    <w:bottom w:val="single" w:color="auto" w:sz="4" w:space="0"/>
                    <w:right w:val="single" w:color="auto" w:sz="4" w:space="0"/>
                  </w:tcBorders>
                  <w:shd w:val="clear" w:color="auto" w:fill="auto"/>
                  <w:noWrap/>
                  <w:vAlign w:val="bottom"/>
                  <w:hideMark/>
                </w:tcPr>
                <w:p w:rsidRPr="00890E07" w:rsidR="00890E07" w:rsidP="00890E07" w:rsidRDefault="00890E07" w14:paraId="5EE2E360" w14:textId="77777777">
                  <w:pPr>
                    <w:widowControl/>
                    <w:autoSpaceDE/>
                    <w:autoSpaceDN/>
                    <w:rPr>
                      <w:rFonts w:ascii="Calibri" w:hAnsi="Calibri" w:eastAsia="Times New Roman" w:cs="Calibri"/>
                      <w:color w:val="000000"/>
                      <w:lang w:val="en-GB" w:eastAsia="en-GB"/>
                    </w:rPr>
                  </w:pPr>
                  <w:r w:rsidRPr="00890E07">
                    <w:rPr>
                      <w:rFonts w:ascii="Calibri" w:hAnsi="Calibri" w:eastAsia="Times New Roman" w:cs="Calibri"/>
                      <w:color w:val="000000"/>
                      <w:lang w:val="en-GB" w:eastAsia="en-GB"/>
                    </w:rPr>
                    <w:t>Primary</w:t>
                  </w:r>
                </w:p>
              </w:tc>
              <w:tc>
                <w:tcPr>
                  <w:tcW w:w="993" w:type="dxa"/>
                  <w:tcBorders>
                    <w:top w:val="nil"/>
                    <w:left w:val="nil"/>
                    <w:bottom w:val="single" w:color="auto" w:sz="4" w:space="0"/>
                    <w:right w:val="single" w:color="auto" w:sz="4" w:space="0"/>
                  </w:tcBorders>
                  <w:shd w:val="clear" w:color="auto" w:fill="auto"/>
                  <w:noWrap/>
                  <w:vAlign w:val="bottom"/>
                  <w:hideMark/>
                </w:tcPr>
                <w:p w:rsidRPr="00890E07" w:rsidR="00890E07" w:rsidP="00890E07" w:rsidRDefault="00890E07" w14:paraId="4139B776" w14:textId="77777777">
                  <w:pPr>
                    <w:widowControl/>
                    <w:autoSpaceDE/>
                    <w:autoSpaceDN/>
                    <w:jc w:val="right"/>
                    <w:rPr>
                      <w:rFonts w:ascii="Calibri" w:hAnsi="Calibri" w:eastAsia="Times New Roman" w:cs="Calibri"/>
                      <w:color w:val="000000"/>
                      <w:lang w:val="en-GB" w:eastAsia="en-GB"/>
                    </w:rPr>
                  </w:pPr>
                  <w:r w:rsidRPr="00890E07">
                    <w:rPr>
                      <w:rFonts w:ascii="Calibri" w:hAnsi="Calibri" w:eastAsia="Times New Roman" w:cs="Calibri"/>
                      <w:color w:val="000000"/>
                      <w:lang w:val="en-GB" w:eastAsia="en-GB"/>
                    </w:rPr>
                    <w:t>22</w:t>
                  </w:r>
                </w:p>
              </w:tc>
              <w:tc>
                <w:tcPr>
                  <w:tcW w:w="1134" w:type="dxa"/>
                  <w:tcBorders>
                    <w:top w:val="nil"/>
                    <w:left w:val="nil"/>
                    <w:bottom w:val="single" w:color="auto" w:sz="4" w:space="0"/>
                    <w:right w:val="single" w:color="auto" w:sz="4" w:space="0"/>
                  </w:tcBorders>
                  <w:shd w:val="clear" w:color="auto" w:fill="auto"/>
                  <w:noWrap/>
                  <w:vAlign w:val="bottom"/>
                  <w:hideMark/>
                </w:tcPr>
                <w:p w:rsidRPr="00890E07" w:rsidR="00890E07" w:rsidP="00890E07" w:rsidRDefault="00890E07" w14:paraId="5E3FFEAF" w14:textId="77777777">
                  <w:pPr>
                    <w:widowControl/>
                    <w:autoSpaceDE/>
                    <w:autoSpaceDN/>
                    <w:jc w:val="right"/>
                    <w:rPr>
                      <w:rFonts w:ascii="Calibri" w:hAnsi="Calibri" w:eastAsia="Times New Roman" w:cs="Calibri"/>
                      <w:color w:val="000000"/>
                      <w:lang w:val="en-GB" w:eastAsia="en-GB"/>
                    </w:rPr>
                  </w:pPr>
                  <w:r w:rsidRPr="00890E07">
                    <w:rPr>
                      <w:rFonts w:ascii="Calibri" w:hAnsi="Calibri" w:eastAsia="Times New Roman" w:cs="Calibri"/>
                      <w:color w:val="000000"/>
                      <w:lang w:val="en-GB" w:eastAsia="en-GB"/>
                    </w:rPr>
                    <w:t>2,897,097</w:t>
                  </w:r>
                </w:p>
              </w:tc>
              <w:tc>
                <w:tcPr>
                  <w:tcW w:w="1134" w:type="dxa"/>
                  <w:tcBorders>
                    <w:top w:val="nil"/>
                    <w:left w:val="nil"/>
                    <w:bottom w:val="single" w:color="auto" w:sz="4" w:space="0"/>
                    <w:right w:val="single" w:color="auto" w:sz="4" w:space="0"/>
                  </w:tcBorders>
                  <w:shd w:val="clear" w:color="auto" w:fill="auto"/>
                  <w:noWrap/>
                  <w:vAlign w:val="bottom"/>
                  <w:hideMark/>
                </w:tcPr>
                <w:p w:rsidRPr="00890E07" w:rsidR="00890E07" w:rsidP="00890E07" w:rsidRDefault="00890E07" w14:paraId="581A7117" w14:textId="7A6CE3B5">
                  <w:pPr>
                    <w:widowControl/>
                    <w:autoSpaceDE/>
                    <w:autoSpaceDN/>
                    <w:jc w:val="right"/>
                    <w:rPr>
                      <w:rFonts w:ascii="Calibri" w:hAnsi="Calibri" w:eastAsia="Times New Roman" w:cs="Calibri"/>
                      <w:color w:val="000000"/>
                      <w:lang w:val="en-GB" w:eastAsia="en-GB"/>
                    </w:rPr>
                  </w:pPr>
                  <w:r w:rsidRPr="00890E07">
                    <w:rPr>
                      <w:rFonts w:ascii="Calibri" w:hAnsi="Calibri" w:eastAsia="Times New Roman" w:cs="Calibri"/>
                      <w:color w:val="000000"/>
                      <w:lang w:val="en-GB" w:eastAsia="en-GB"/>
                    </w:rPr>
                    <w:t>2,152,41</w:t>
                  </w:r>
                  <w:r w:rsidR="00014858">
                    <w:rPr>
                      <w:rFonts w:ascii="Calibri" w:hAnsi="Calibri" w:eastAsia="Times New Roman" w:cs="Calibri"/>
                      <w:color w:val="000000"/>
                      <w:lang w:val="en-GB" w:eastAsia="en-GB"/>
                    </w:rPr>
                    <w:t>7</w:t>
                  </w:r>
                </w:p>
              </w:tc>
              <w:tc>
                <w:tcPr>
                  <w:tcW w:w="1134" w:type="dxa"/>
                  <w:tcBorders>
                    <w:top w:val="nil"/>
                    <w:left w:val="nil"/>
                    <w:bottom w:val="single" w:color="auto" w:sz="4" w:space="0"/>
                    <w:right w:val="single" w:color="auto" w:sz="4" w:space="0"/>
                  </w:tcBorders>
                  <w:shd w:val="clear" w:color="auto" w:fill="auto"/>
                  <w:noWrap/>
                  <w:vAlign w:val="bottom"/>
                  <w:hideMark/>
                </w:tcPr>
                <w:p w:rsidRPr="00890E07" w:rsidR="00890E07" w:rsidP="00890E07" w:rsidRDefault="00890E07" w14:paraId="09716051" w14:textId="7710A1FF">
                  <w:pPr>
                    <w:widowControl/>
                    <w:autoSpaceDE/>
                    <w:autoSpaceDN/>
                    <w:jc w:val="right"/>
                    <w:rPr>
                      <w:rFonts w:ascii="Calibri" w:hAnsi="Calibri" w:eastAsia="Times New Roman" w:cs="Calibri"/>
                      <w:color w:val="000000"/>
                      <w:lang w:val="en-GB" w:eastAsia="en-GB"/>
                    </w:rPr>
                  </w:pPr>
                  <w:r w:rsidRPr="00890E07">
                    <w:rPr>
                      <w:rFonts w:ascii="Calibri" w:hAnsi="Calibri" w:eastAsia="Times New Roman" w:cs="Calibri"/>
                      <w:color w:val="FF0000"/>
                      <w:lang w:val="en-GB" w:eastAsia="en-GB"/>
                    </w:rPr>
                    <w:t>-744,6</w:t>
                  </w:r>
                  <w:r w:rsidR="00014858">
                    <w:rPr>
                      <w:rFonts w:ascii="Calibri" w:hAnsi="Calibri" w:eastAsia="Times New Roman" w:cs="Calibri"/>
                      <w:color w:val="FF0000"/>
                      <w:lang w:val="en-GB" w:eastAsia="en-GB"/>
                    </w:rPr>
                    <w:t>80</w:t>
                  </w:r>
                  <w:r w:rsidRPr="00890E07">
                    <w:rPr>
                      <w:rFonts w:ascii="Calibri" w:hAnsi="Calibri" w:eastAsia="Times New Roman" w:cs="Calibri"/>
                      <w:color w:val="FF0000"/>
                      <w:lang w:val="en-GB" w:eastAsia="en-GB"/>
                    </w:rPr>
                    <w:t xml:space="preserve"> </w:t>
                  </w:r>
                </w:p>
              </w:tc>
              <w:tc>
                <w:tcPr>
                  <w:tcW w:w="992" w:type="dxa"/>
                  <w:tcBorders>
                    <w:top w:val="nil"/>
                    <w:left w:val="nil"/>
                    <w:bottom w:val="single" w:color="auto" w:sz="4" w:space="0"/>
                    <w:right w:val="single" w:color="auto" w:sz="4" w:space="0"/>
                  </w:tcBorders>
                  <w:shd w:val="clear" w:color="auto" w:fill="auto"/>
                  <w:noWrap/>
                  <w:vAlign w:val="bottom"/>
                  <w:hideMark/>
                </w:tcPr>
                <w:p w:rsidRPr="00890E07" w:rsidR="00890E07" w:rsidP="00890E07" w:rsidRDefault="00890E07" w14:paraId="5D88B88C" w14:textId="77777777">
                  <w:pPr>
                    <w:widowControl/>
                    <w:autoSpaceDE/>
                    <w:autoSpaceDN/>
                    <w:jc w:val="right"/>
                    <w:rPr>
                      <w:rFonts w:ascii="Calibri" w:hAnsi="Calibri" w:eastAsia="Times New Roman" w:cs="Calibri"/>
                      <w:color w:val="000000"/>
                      <w:lang w:val="en-GB" w:eastAsia="en-GB"/>
                    </w:rPr>
                  </w:pPr>
                  <w:r w:rsidRPr="00890E07">
                    <w:rPr>
                      <w:rFonts w:ascii="Calibri" w:hAnsi="Calibri" w:eastAsia="Times New Roman" w:cs="Calibri"/>
                      <w:color w:val="FF0000"/>
                      <w:lang w:val="en-GB" w:eastAsia="en-GB"/>
                    </w:rPr>
                    <w:t>-25.70%</w:t>
                  </w:r>
                </w:p>
              </w:tc>
            </w:tr>
            <w:tr w:rsidRPr="00890E07" w:rsidR="007D4FF9" w:rsidTr="007D4FF9" w14:paraId="42A37341" w14:textId="77777777">
              <w:trPr>
                <w:trHeight w:val="300"/>
              </w:trPr>
              <w:tc>
                <w:tcPr>
                  <w:tcW w:w="1429" w:type="dxa"/>
                  <w:tcBorders>
                    <w:top w:val="nil"/>
                    <w:left w:val="single" w:color="auto" w:sz="4" w:space="0"/>
                    <w:bottom w:val="single" w:color="auto" w:sz="4" w:space="0"/>
                    <w:right w:val="single" w:color="auto" w:sz="4" w:space="0"/>
                  </w:tcBorders>
                  <w:shd w:val="clear" w:color="auto" w:fill="auto"/>
                  <w:noWrap/>
                  <w:vAlign w:val="bottom"/>
                  <w:hideMark/>
                </w:tcPr>
                <w:p w:rsidRPr="00890E07" w:rsidR="00890E07" w:rsidP="00890E07" w:rsidRDefault="00890E07" w14:paraId="289ACCD7" w14:textId="77777777">
                  <w:pPr>
                    <w:widowControl/>
                    <w:autoSpaceDE/>
                    <w:autoSpaceDN/>
                    <w:rPr>
                      <w:rFonts w:ascii="Calibri" w:hAnsi="Calibri" w:eastAsia="Times New Roman" w:cs="Calibri"/>
                      <w:color w:val="000000"/>
                      <w:lang w:val="en-GB" w:eastAsia="en-GB"/>
                    </w:rPr>
                  </w:pPr>
                  <w:r w:rsidRPr="00890E07">
                    <w:rPr>
                      <w:rFonts w:ascii="Calibri" w:hAnsi="Calibri" w:eastAsia="Times New Roman" w:cs="Calibri"/>
                      <w:color w:val="000000"/>
                      <w:lang w:val="en-GB" w:eastAsia="en-GB"/>
                    </w:rPr>
                    <w:t>Secondary</w:t>
                  </w:r>
                </w:p>
              </w:tc>
              <w:tc>
                <w:tcPr>
                  <w:tcW w:w="993" w:type="dxa"/>
                  <w:tcBorders>
                    <w:top w:val="nil"/>
                    <w:left w:val="nil"/>
                    <w:bottom w:val="single" w:color="auto" w:sz="4" w:space="0"/>
                    <w:right w:val="single" w:color="auto" w:sz="4" w:space="0"/>
                  </w:tcBorders>
                  <w:shd w:val="clear" w:color="auto" w:fill="auto"/>
                  <w:noWrap/>
                  <w:vAlign w:val="bottom"/>
                  <w:hideMark/>
                </w:tcPr>
                <w:p w:rsidRPr="00890E07" w:rsidR="00890E07" w:rsidP="00890E07" w:rsidRDefault="00890E07" w14:paraId="55B12A92" w14:textId="77777777">
                  <w:pPr>
                    <w:widowControl/>
                    <w:autoSpaceDE/>
                    <w:autoSpaceDN/>
                    <w:jc w:val="right"/>
                    <w:rPr>
                      <w:rFonts w:ascii="Calibri" w:hAnsi="Calibri" w:eastAsia="Times New Roman" w:cs="Calibri"/>
                      <w:color w:val="000000"/>
                      <w:lang w:val="en-GB" w:eastAsia="en-GB"/>
                    </w:rPr>
                  </w:pPr>
                  <w:r w:rsidRPr="00890E07">
                    <w:rPr>
                      <w:rFonts w:ascii="Calibri" w:hAnsi="Calibri" w:eastAsia="Times New Roman" w:cs="Calibri"/>
                      <w:color w:val="000000"/>
                      <w:lang w:val="en-GB" w:eastAsia="en-GB"/>
                    </w:rPr>
                    <w:t>2</w:t>
                  </w:r>
                </w:p>
              </w:tc>
              <w:tc>
                <w:tcPr>
                  <w:tcW w:w="1134" w:type="dxa"/>
                  <w:tcBorders>
                    <w:top w:val="nil"/>
                    <w:left w:val="nil"/>
                    <w:bottom w:val="single" w:color="auto" w:sz="4" w:space="0"/>
                    <w:right w:val="single" w:color="auto" w:sz="4" w:space="0"/>
                  </w:tcBorders>
                  <w:shd w:val="clear" w:color="auto" w:fill="auto"/>
                  <w:noWrap/>
                  <w:vAlign w:val="bottom"/>
                  <w:hideMark/>
                </w:tcPr>
                <w:p w:rsidRPr="00890E07" w:rsidR="00890E07" w:rsidP="00890E07" w:rsidRDefault="00890E07" w14:paraId="08BB1469" w14:textId="77777777">
                  <w:pPr>
                    <w:widowControl/>
                    <w:autoSpaceDE/>
                    <w:autoSpaceDN/>
                    <w:jc w:val="right"/>
                    <w:rPr>
                      <w:rFonts w:ascii="Calibri" w:hAnsi="Calibri" w:eastAsia="Times New Roman" w:cs="Calibri"/>
                      <w:color w:val="000000"/>
                      <w:lang w:val="en-GB" w:eastAsia="en-GB"/>
                    </w:rPr>
                  </w:pPr>
                  <w:r w:rsidRPr="00890E07">
                    <w:rPr>
                      <w:rFonts w:ascii="Calibri" w:hAnsi="Calibri" w:eastAsia="Times New Roman" w:cs="Calibri"/>
                      <w:color w:val="000000"/>
                      <w:lang w:val="en-GB" w:eastAsia="en-GB"/>
                    </w:rPr>
                    <w:t>656,028</w:t>
                  </w:r>
                </w:p>
              </w:tc>
              <w:tc>
                <w:tcPr>
                  <w:tcW w:w="1134" w:type="dxa"/>
                  <w:tcBorders>
                    <w:top w:val="nil"/>
                    <w:left w:val="nil"/>
                    <w:bottom w:val="single" w:color="auto" w:sz="4" w:space="0"/>
                    <w:right w:val="single" w:color="auto" w:sz="4" w:space="0"/>
                  </w:tcBorders>
                  <w:shd w:val="clear" w:color="auto" w:fill="auto"/>
                  <w:noWrap/>
                  <w:vAlign w:val="bottom"/>
                  <w:hideMark/>
                </w:tcPr>
                <w:p w:rsidRPr="00890E07" w:rsidR="00890E07" w:rsidP="00890E07" w:rsidRDefault="00890E07" w14:paraId="0C0AACCE" w14:textId="77777777">
                  <w:pPr>
                    <w:widowControl/>
                    <w:autoSpaceDE/>
                    <w:autoSpaceDN/>
                    <w:jc w:val="right"/>
                    <w:rPr>
                      <w:rFonts w:ascii="Calibri" w:hAnsi="Calibri" w:eastAsia="Times New Roman" w:cs="Calibri"/>
                      <w:color w:val="000000"/>
                      <w:lang w:val="en-GB" w:eastAsia="en-GB"/>
                    </w:rPr>
                  </w:pPr>
                  <w:r w:rsidRPr="00890E07">
                    <w:rPr>
                      <w:rFonts w:ascii="Calibri" w:hAnsi="Calibri" w:eastAsia="Times New Roman" w:cs="Calibri"/>
                      <w:color w:val="000000"/>
                      <w:lang w:val="en-GB" w:eastAsia="en-GB"/>
                    </w:rPr>
                    <w:t>796,233</w:t>
                  </w:r>
                </w:p>
              </w:tc>
              <w:tc>
                <w:tcPr>
                  <w:tcW w:w="1134" w:type="dxa"/>
                  <w:tcBorders>
                    <w:top w:val="nil"/>
                    <w:left w:val="nil"/>
                    <w:bottom w:val="single" w:color="auto" w:sz="4" w:space="0"/>
                    <w:right w:val="single" w:color="auto" w:sz="4" w:space="0"/>
                  </w:tcBorders>
                  <w:shd w:val="clear" w:color="auto" w:fill="auto"/>
                  <w:noWrap/>
                  <w:vAlign w:val="bottom"/>
                  <w:hideMark/>
                </w:tcPr>
                <w:p w:rsidRPr="00890E07" w:rsidR="00890E07" w:rsidP="00890E07" w:rsidRDefault="00890E07" w14:paraId="10941835" w14:textId="77777777">
                  <w:pPr>
                    <w:widowControl/>
                    <w:autoSpaceDE/>
                    <w:autoSpaceDN/>
                    <w:jc w:val="right"/>
                    <w:rPr>
                      <w:rFonts w:ascii="Calibri" w:hAnsi="Calibri" w:eastAsia="Times New Roman" w:cs="Calibri"/>
                      <w:color w:val="000000"/>
                      <w:lang w:val="en-GB" w:eastAsia="en-GB"/>
                    </w:rPr>
                  </w:pPr>
                  <w:r w:rsidRPr="00890E07">
                    <w:rPr>
                      <w:rFonts w:ascii="Calibri" w:hAnsi="Calibri" w:eastAsia="Times New Roman" w:cs="Calibri"/>
                      <w:color w:val="000000"/>
                      <w:lang w:val="en-GB" w:eastAsia="en-GB"/>
                    </w:rPr>
                    <w:t xml:space="preserve">140,205 </w:t>
                  </w:r>
                </w:p>
              </w:tc>
              <w:tc>
                <w:tcPr>
                  <w:tcW w:w="992" w:type="dxa"/>
                  <w:tcBorders>
                    <w:top w:val="nil"/>
                    <w:left w:val="nil"/>
                    <w:bottom w:val="single" w:color="auto" w:sz="4" w:space="0"/>
                    <w:right w:val="single" w:color="auto" w:sz="4" w:space="0"/>
                  </w:tcBorders>
                  <w:shd w:val="clear" w:color="auto" w:fill="auto"/>
                  <w:noWrap/>
                  <w:vAlign w:val="bottom"/>
                  <w:hideMark/>
                </w:tcPr>
                <w:p w:rsidRPr="00890E07" w:rsidR="00890E07" w:rsidP="00890E07" w:rsidRDefault="00890E07" w14:paraId="1C7153AA" w14:textId="77777777">
                  <w:pPr>
                    <w:widowControl/>
                    <w:autoSpaceDE/>
                    <w:autoSpaceDN/>
                    <w:jc w:val="right"/>
                    <w:rPr>
                      <w:rFonts w:ascii="Calibri" w:hAnsi="Calibri" w:eastAsia="Times New Roman" w:cs="Calibri"/>
                      <w:color w:val="000000"/>
                      <w:lang w:val="en-GB" w:eastAsia="en-GB"/>
                    </w:rPr>
                  </w:pPr>
                  <w:r w:rsidRPr="00890E07">
                    <w:rPr>
                      <w:rFonts w:ascii="Calibri" w:hAnsi="Calibri" w:eastAsia="Times New Roman" w:cs="Calibri"/>
                      <w:color w:val="000000"/>
                      <w:lang w:val="en-GB" w:eastAsia="en-GB"/>
                    </w:rPr>
                    <w:t>21.37%</w:t>
                  </w:r>
                </w:p>
              </w:tc>
            </w:tr>
            <w:tr w:rsidRPr="00890E07" w:rsidR="007D4FF9" w:rsidTr="007D4FF9" w14:paraId="55AE407E" w14:textId="77777777">
              <w:trPr>
                <w:trHeight w:val="300"/>
              </w:trPr>
              <w:tc>
                <w:tcPr>
                  <w:tcW w:w="1429" w:type="dxa"/>
                  <w:tcBorders>
                    <w:top w:val="nil"/>
                    <w:left w:val="single" w:color="auto" w:sz="4" w:space="0"/>
                    <w:bottom w:val="single" w:color="auto" w:sz="4" w:space="0"/>
                    <w:right w:val="single" w:color="auto" w:sz="4" w:space="0"/>
                  </w:tcBorders>
                  <w:shd w:val="clear" w:color="auto" w:fill="auto"/>
                  <w:noWrap/>
                  <w:vAlign w:val="bottom"/>
                  <w:hideMark/>
                </w:tcPr>
                <w:p w:rsidRPr="00890E07" w:rsidR="00890E07" w:rsidP="00890E07" w:rsidRDefault="00890E07" w14:paraId="13895DEE" w14:textId="77777777">
                  <w:pPr>
                    <w:widowControl/>
                    <w:autoSpaceDE/>
                    <w:autoSpaceDN/>
                    <w:rPr>
                      <w:rFonts w:ascii="Calibri" w:hAnsi="Calibri" w:eastAsia="Times New Roman" w:cs="Calibri"/>
                      <w:color w:val="000000"/>
                      <w:lang w:val="en-GB" w:eastAsia="en-GB"/>
                    </w:rPr>
                  </w:pPr>
                  <w:r w:rsidRPr="00890E07">
                    <w:rPr>
                      <w:rFonts w:ascii="Calibri" w:hAnsi="Calibri" w:eastAsia="Times New Roman" w:cs="Calibri"/>
                      <w:color w:val="000000"/>
                      <w:lang w:val="en-GB" w:eastAsia="en-GB"/>
                    </w:rPr>
                    <w:t xml:space="preserve">Special </w:t>
                  </w:r>
                </w:p>
              </w:tc>
              <w:tc>
                <w:tcPr>
                  <w:tcW w:w="993" w:type="dxa"/>
                  <w:tcBorders>
                    <w:top w:val="nil"/>
                    <w:left w:val="nil"/>
                    <w:bottom w:val="single" w:color="auto" w:sz="4" w:space="0"/>
                    <w:right w:val="single" w:color="auto" w:sz="4" w:space="0"/>
                  </w:tcBorders>
                  <w:shd w:val="clear" w:color="auto" w:fill="auto"/>
                  <w:noWrap/>
                  <w:vAlign w:val="bottom"/>
                  <w:hideMark/>
                </w:tcPr>
                <w:p w:rsidRPr="00890E07" w:rsidR="00890E07" w:rsidP="00890E07" w:rsidRDefault="00890E07" w14:paraId="17E53AB8" w14:textId="77777777">
                  <w:pPr>
                    <w:widowControl/>
                    <w:autoSpaceDE/>
                    <w:autoSpaceDN/>
                    <w:jc w:val="right"/>
                    <w:rPr>
                      <w:rFonts w:ascii="Calibri" w:hAnsi="Calibri" w:eastAsia="Times New Roman" w:cs="Calibri"/>
                      <w:color w:val="000000"/>
                      <w:lang w:val="en-GB" w:eastAsia="en-GB"/>
                    </w:rPr>
                  </w:pPr>
                  <w:r w:rsidRPr="00890E07">
                    <w:rPr>
                      <w:rFonts w:ascii="Calibri" w:hAnsi="Calibri" w:eastAsia="Times New Roman" w:cs="Calibri"/>
                      <w:color w:val="000000"/>
                      <w:lang w:val="en-GB" w:eastAsia="en-GB"/>
                    </w:rPr>
                    <w:t>3</w:t>
                  </w:r>
                </w:p>
              </w:tc>
              <w:tc>
                <w:tcPr>
                  <w:tcW w:w="1134" w:type="dxa"/>
                  <w:tcBorders>
                    <w:top w:val="nil"/>
                    <w:left w:val="nil"/>
                    <w:bottom w:val="single" w:color="auto" w:sz="4" w:space="0"/>
                    <w:right w:val="single" w:color="auto" w:sz="4" w:space="0"/>
                  </w:tcBorders>
                  <w:shd w:val="clear" w:color="auto" w:fill="auto"/>
                  <w:noWrap/>
                  <w:vAlign w:val="bottom"/>
                  <w:hideMark/>
                </w:tcPr>
                <w:p w:rsidRPr="00890E07" w:rsidR="00890E07" w:rsidP="00890E07" w:rsidRDefault="00890E07" w14:paraId="500A74B7" w14:textId="77777777">
                  <w:pPr>
                    <w:widowControl/>
                    <w:autoSpaceDE/>
                    <w:autoSpaceDN/>
                    <w:jc w:val="right"/>
                    <w:rPr>
                      <w:rFonts w:ascii="Calibri" w:hAnsi="Calibri" w:eastAsia="Times New Roman" w:cs="Calibri"/>
                      <w:color w:val="000000"/>
                      <w:lang w:val="en-GB" w:eastAsia="en-GB"/>
                    </w:rPr>
                  </w:pPr>
                  <w:r w:rsidRPr="00890E07">
                    <w:rPr>
                      <w:rFonts w:ascii="Calibri" w:hAnsi="Calibri" w:eastAsia="Times New Roman" w:cs="Calibri"/>
                      <w:color w:val="000000"/>
                      <w:lang w:val="en-GB" w:eastAsia="en-GB"/>
                    </w:rPr>
                    <w:t>792,219</w:t>
                  </w:r>
                </w:p>
              </w:tc>
              <w:tc>
                <w:tcPr>
                  <w:tcW w:w="1134" w:type="dxa"/>
                  <w:tcBorders>
                    <w:top w:val="nil"/>
                    <w:left w:val="nil"/>
                    <w:bottom w:val="single" w:color="auto" w:sz="4" w:space="0"/>
                    <w:right w:val="single" w:color="auto" w:sz="4" w:space="0"/>
                  </w:tcBorders>
                  <w:shd w:val="clear" w:color="auto" w:fill="auto"/>
                  <w:noWrap/>
                  <w:vAlign w:val="bottom"/>
                  <w:hideMark/>
                </w:tcPr>
                <w:p w:rsidRPr="00890E07" w:rsidR="00890E07" w:rsidP="00890E07" w:rsidRDefault="00890E07" w14:paraId="3C2C8272" w14:textId="77777777">
                  <w:pPr>
                    <w:widowControl/>
                    <w:autoSpaceDE/>
                    <w:autoSpaceDN/>
                    <w:jc w:val="right"/>
                    <w:rPr>
                      <w:rFonts w:ascii="Calibri" w:hAnsi="Calibri" w:eastAsia="Times New Roman" w:cs="Calibri"/>
                      <w:color w:val="000000"/>
                      <w:lang w:val="en-GB" w:eastAsia="en-GB"/>
                    </w:rPr>
                  </w:pPr>
                  <w:r w:rsidRPr="00890E07">
                    <w:rPr>
                      <w:rFonts w:ascii="Calibri" w:hAnsi="Calibri" w:eastAsia="Times New Roman" w:cs="Calibri"/>
                      <w:color w:val="000000"/>
                      <w:lang w:val="en-GB" w:eastAsia="en-GB"/>
                    </w:rPr>
                    <w:t>590,674</w:t>
                  </w:r>
                </w:p>
              </w:tc>
              <w:tc>
                <w:tcPr>
                  <w:tcW w:w="1134" w:type="dxa"/>
                  <w:tcBorders>
                    <w:top w:val="nil"/>
                    <w:left w:val="nil"/>
                    <w:bottom w:val="single" w:color="auto" w:sz="4" w:space="0"/>
                    <w:right w:val="single" w:color="auto" w:sz="4" w:space="0"/>
                  </w:tcBorders>
                  <w:shd w:val="clear" w:color="auto" w:fill="auto"/>
                  <w:noWrap/>
                  <w:vAlign w:val="bottom"/>
                  <w:hideMark/>
                </w:tcPr>
                <w:p w:rsidRPr="00890E07" w:rsidR="00890E07" w:rsidP="00890E07" w:rsidRDefault="00890E07" w14:paraId="129533D2" w14:textId="77777777">
                  <w:pPr>
                    <w:widowControl/>
                    <w:autoSpaceDE/>
                    <w:autoSpaceDN/>
                    <w:jc w:val="right"/>
                    <w:rPr>
                      <w:rFonts w:ascii="Calibri" w:hAnsi="Calibri" w:eastAsia="Times New Roman" w:cs="Calibri"/>
                      <w:color w:val="000000"/>
                      <w:lang w:val="en-GB" w:eastAsia="en-GB"/>
                    </w:rPr>
                  </w:pPr>
                  <w:r w:rsidRPr="00890E07">
                    <w:rPr>
                      <w:rFonts w:ascii="Calibri" w:hAnsi="Calibri" w:eastAsia="Times New Roman" w:cs="Calibri"/>
                      <w:color w:val="FF0000"/>
                      <w:lang w:val="en-GB" w:eastAsia="en-GB"/>
                    </w:rPr>
                    <w:t xml:space="preserve">-201,545 </w:t>
                  </w:r>
                </w:p>
              </w:tc>
              <w:tc>
                <w:tcPr>
                  <w:tcW w:w="992" w:type="dxa"/>
                  <w:tcBorders>
                    <w:top w:val="nil"/>
                    <w:left w:val="nil"/>
                    <w:bottom w:val="single" w:color="auto" w:sz="4" w:space="0"/>
                    <w:right w:val="single" w:color="auto" w:sz="4" w:space="0"/>
                  </w:tcBorders>
                  <w:shd w:val="clear" w:color="auto" w:fill="auto"/>
                  <w:noWrap/>
                  <w:vAlign w:val="bottom"/>
                  <w:hideMark/>
                </w:tcPr>
                <w:p w:rsidRPr="00890E07" w:rsidR="00890E07" w:rsidP="00890E07" w:rsidRDefault="00890E07" w14:paraId="00F1C20E" w14:textId="77777777">
                  <w:pPr>
                    <w:widowControl/>
                    <w:autoSpaceDE/>
                    <w:autoSpaceDN/>
                    <w:jc w:val="right"/>
                    <w:rPr>
                      <w:rFonts w:ascii="Calibri" w:hAnsi="Calibri" w:eastAsia="Times New Roman" w:cs="Calibri"/>
                      <w:color w:val="000000"/>
                      <w:lang w:val="en-GB" w:eastAsia="en-GB"/>
                    </w:rPr>
                  </w:pPr>
                  <w:r w:rsidRPr="00890E07">
                    <w:rPr>
                      <w:rFonts w:ascii="Calibri" w:hAnsi="Calibri" w:eastAsia="Times New Roman" w:cs="Calibri"/>
                      <w:color w:val="FF0000"/>
                      <w:lang w:val="en-GB" w:eastAsia="en-GB"/>
                    </w:rPr>
                    <w:t>-25.44%</w:t>
                  </w:r>
                </w:p>
              </w:tc>
            </w:tr>
            <w:tr w:rsidRPr="00014858" w:rsidR="00014858" w:rsidTr="00224E0D" w14:paraId="0529A763" w14:textId="77777777">
              <w:trPr>
                <w:trHeight w:val="300"/>
              </w:trPr>
              <w:tc>
                <w:tcPr>
                  <w:tcW w:w="1429"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890E07" w:rsidR="00890E07" w:rsidP="00890E07" w:rsidRDefault="00890E07" w14:paraId="2E40C6FF" w14:textId="77777777">
                  <w:pPr>
                    <w:widowControl/>
                    <w:autoSpaceDE/>
                    <w:autoSpaceDN/>
                    <w:rPr>
                      <w:rFonts w:ascii="Calibri" w:hAnsi="Calibri" w:eastAsia="Times New Roman" w:cs="Calibri"/>
                      <w:b/>
                      <w:bCs/>
                      <w:color w:val="000000"/>
                      <w:lang w:val="en-GB" w:eastAsia="en-GB"/>
                    </w:rPr>
                  </w:pPr>
                  <w:r w:rsidRPr="00890E07">
                    <w:rPr>
                      <w:rFonts w:ascii="Calibri" w:hAnsi="Calibri" w:eastAsia="Times New Roman" w:cs="Calibri"/>
                      <w:b/>
                      <w:bCs/>
                      <w:color w:val="000000"/>
                      <w:lang w:val="en-GB" w:eastAsia="en-GB"/>
                    </w:rPr>
                    <w:t>Total</w:t>
                  </w:r>
                </w:p>
              </w:tc>
              <w:tc>
                <w:tcPr>
                  <w:tcW w:w="993" w:type="dxa"/>
                  <w:tcBorders>
                    <w:top w:val="nil"/>
                    <w:left w:val="nil"/>
                    <w:bottom w:val="single" w:color="auto" w:sz="4" w:space="0"/>
                    <w:right w:val="single" w:color="auto" w:sz="4" w:space="0"/>
                  </w:tcBorders>
                  <w:shd w:val="clear" w:color="auto" w:fill="D9D9D9" w:themeFill="background1" w:themeFillShade="D9"/>
                  <w:noWrap/>
                  <w:vAlign w:val="bottom"/>
                  <w:hideMark/>
                </w:tcPr>
                <w:p w:rsidRPr="00890E07" w:rsidR="00890E07" w:rsidP="00890E07" w:rsidRDefault="00890E07" w14:paraId="061EEFB8" w14:textId="77777777">
                  <w:pPr>
                    <w:widowControl/>
                    <w:autoSpaceDE/>
                    <w:autoSpaceDN/>
                    <w:jc w:val="right"/>
                    <w:rPr>
                      <w:rFonts w:ascii="Calibri" w:hAnsi="Calibri" w:eastAsia="Times New Roman" w:cs="Calibri"/>
                      <w:b/>
                      <w:bCs/>
                      <w:color w:val="000000"/>
                      <w:lang w:val="en-GB" w:eastAsia="en-GB"/>
                    </w:rPr>
                  </w:pPr>
                  <w:r w:rsidRPr="00890E07">
                    <w:rPr>
                      <w:rFonts w:ascii="Calibri" w:hAnsi="Calibri" w:eastAsia="Times New Roman" w:cs="Calibri"/>
                      <w:b/>
                      <w:bCs/>
                      <w:color w:val="000000"/>
                      <w:lang w:val="en-GB" w:eastAsia="en-GB"/>
                    </w:rPr>
                    <w:t>28</w:t>
                  </w:r>
                </w:p>
              </w:tc>
              <w:tc>
                <w:tcPr>
                  <w:tcW w:w="1134" w:type="dxa"/>
                  <w:tcBorders>
                    <w:top w:val="nil"/>
                    <w:left w:val="nil"/>
                    <w:bottom w:val="single" w:color="auto" w:sz="4" w:space="0"/>
                    <w:right w:val="single" w:color="auto" w:sz="4" w:space="0"/>
                  </w:tcBorders>
                  <w:shd w:val="clear" w:color="auto" w:fill="D9D9D9" w:themeFill="background1" w:themeFillShade="D9"/>
                  <w:noWrap/>
                  <w:vAlign w:val="bottom"/>
                  <w:hideMark/>
                </w:tcPr>
                <w:p w:rsidRPr="00890E07" w:rsidR="00890E07" w:rsidP="00890E07" w:rsidRDefault="00890E07" w14:paraId="6BDF1978" w14:textId="77777777">
                  <w:pPr>
                    <w:widowControl/>
                    <w:autoSpaceDE/>
                    <w:autoSpaceDN/>
                    <w:jc w:val="right"/>
                    <w:rPr>
                      <w:rFonts w:ascii="Calibri" w:hAnsi="Calibri" w:eastAsia="Times New Roman" w:cs="Calibri"/>
                      <w:b/>
                      <w:bCs/>
                      <w:color w:val="000000"/>
                      <w:lang w:val="en-GB" w:eastAsia="en-GB"/>
                    </w:rPr>
                  </w:pPr>
                  <w:r w:rsidRPr="00890E07">
                    <w:rPr>
                      <w:rFonts w:ascii="Calibri" w:hAnsi="Calibri" w:eastAsia="Times New Roman" w:cs="Calibri"/>
                      <w:b/>
                      <w:bCs/>
                      <w:color w:val="000000"/>
                      <w:lang w:val="en-GB" w:eastAsia="en-GB"/>
                    </w:rPr>
                    <w:t>4,381,373</w:t>
                  </w:r>
                </w:p>
              </w:tc>
              <w:tc>
                <w:tcPr>
                  <w:tcW w:w="1134" w:type="dxa"/>
                  <w:tcBorders>
                    <w:top w:val="nil"/>
                    <w:left w:val="nil"/>
                    <w:bottom w:val="single" w:color="auto" w:sz="4" w:space="0"/>
                    <w:right w:val="single" w:color="auto" w:sz="4" w:space="0"/>
                  </w:tcBorders>
                  <w:shd w:val="clear" w:color="auto" w:fill="D9D9D9" w:themeFill="background1" w:themeFillShade="D9"/>
                  <w:noWrap/>
                  <w:vAlign w:val="bottom"/>
                  <w:hideMark/>
                </w:tcPr>
                <w:p w:rsidRPr="00890E07" w:rsidR="00890E07" w:rsidP="00890E07" w:rsidRDefault="00890E07" w14:paraId="68E0F033" w14:textId="18FDBE32">
                  <w:pPr>
                    <w:widowControl/>
                    <w:autoSpaceDE/>
                    <w:autoSpaceDN/>
                    <w:jc w:val="right"/>
                    <w:rPr>
                      <w:rFonts w:ascii="Calibri" w:hAnsi="Calibri" w:eastAsia="Times New Roman" w:cs="Calibri"/>
                      <w:b/>
                      <w:bCs/>
                      <w:color w:val="000000"/>
                      <w:lang w:val="en-GB" w:eastAsia="en-GB"/>
                    </w:rPr>
                  </w:pPr>
                  <w:r w:rsidRPr="00890E07">
                    <w:rPr>
                      <w:rFonts w:ascii="Calibri" w:hAnsi="Calibri" w:eastAsia="Times New Roman" w:cs="Calibri"/>
                      <w:b/>
                      <w:bCs/>
                      <w:color w:val="000000"/>
                      <w:lang w:val="en-GB" w:eastAsia="en-GB"/>
                    </w:rPr>
                    <w:t>3,596,18</w:t>
                  </w:r>
                  <w:r w:rsidR="00A17EA7">
                    <w:rPr>
                      <w:rFonts w:ascii="Calibri" w:hAnsi="Calibri" w:eastAsia="Times New Roman" w:cs="Calibri"/>
                      <w:b/>
                      <w:bCs/>
                      <w:color w:val="000000"/>
                      <w:lang w:val="en-GB" w:eastAsia="en-GB"/>
                    </w:rPr>
                    <w:t>2</w:t>
                  </w:r>
                </w:p>
              </w:tc>
              <w:tc>
                <w:tcPr>
                  <w:tcW w:w="1134" w:type="dxa"/>
                  <w:tcBorders>
                    <w:top w:val="nil"/>
                    <w:left w:val="nil"/>
                    <w:bottom w:val="single" w:color="auto" w:sz="4" w:space="0"/>
                    <w:right w:val="single" w:color="auto" w:sz="4" w:space="0"/>
                  </w:tcBorders>
                  <w:shd w:val="clear" w:color="auto" w:fill="D9D9D9" w:themeFill="background1" w:themeFillShade="D9"/>
                  <w:noWrap/>
                  <w:vAlign w:val="bottom"/>
                  <w:hideMark/>
                </w:tcPr>
                <w:p w:rsidRPr="00890E07" w:rsidR="00890E07" w:rsidP="00890E07" w:rsidRDefault="00890E07" w14:paraId="186BCC0A" w14:textId="4CFDE018">
                  <w:pPr>
                    <w:widowControl/>
                    <w:autoSpaceDE/>
                    <w:autoSpaceDN/>
                    <w:jc w:val="right"/>
                    <w:rPr>
                      <w:rFonts w:ascii="Calibri" w:hAnsi="Calibri" w:eastAsia="Times New Roman" w:cs="Calibri"/>
                      <w:b/>
                      <w:bCs/>
                      <w:color w:val="000000"/>
                      <w:lang w:val="en-GB" w:eastAsia="en-GB"/>
                    </w:rPr>
                  </w:pPr>
                  <w:r w:rsidRPr="00890E07">
                    <w:rPr>
                      <w:rFonts w:ascii="Calibri" w:hAnsi="Calibri" w:eastAsia="Times New Roman" w:cs="Calibri"/>
                      <w:b/>
                      <w:bCs/>
                      <w:color w:val="FF0000"/>
                      <w:lang w:val="en-GB" w:eastAsia="en-GB"/>
                    </w:rPr>
                    <w:t>-785,19</w:t>
                  </w:r>
                  <w:r w:rsidR="00014858">
                    <w:rPr>
                      <w:rFonts w:ascii="Calibri" w:hAnsi="Calibri" w:eastAsia="Times New Roman" w:cs="Calibri"/>
                      <w:b/>
                      <w:bCs/>
                      <w:color w:val="FF0000"/>
                      <w:lang w:val="en-GB" w:eastAsia="en-GB"/>
                    </w:rPr>
                    <w:t>1</w:t>
                  </w:r>
                </w:p>
              </w:tc>
              <w:tc>
                <w:tcPr>
                  <w:tcW w:w="992" w:type="dxa"/>
                  <w:tcBorders>
                    <w:top w:val="nil"/>
                    <w:left w:val="nil"/>
                    <w:bottom w:val="single" w:color="auto" w:sz="4" w:space="0"/>
                    <w:right w:val="single" w:color="auto" w:sz="4" w:space="0"/>
                  </w:tcBorders>
                  <w:shd w:val="clear" w:color="auto" w:fill="D9D9D9" w:themeFill="background1" w:themeFillShade="D9"/>
                  <w:noWrap/>
                  <w:vAlign w:val="bottom"/>
                  <w:hideMark/>
                </w:tcPr>
                <w:p w:rsidRPr="00890E07" w:rsidR="00890E07" w:rsidP="00890E07" w:rsidRDefault="00890E07" w14:paraId="7A7F6A9B" w14:textId="77777777">
                  <w:pPr>
                    <w:widowControl/>
                    <w:autoSpaceDE/>
                    <w:autoSpaceDN/>
                    <w:jc w:val="right"/>
                    <w:rPr>
                      <w:rFonts w:ascii="Calibri" w:hAnsi="Calibri" w:eastAsia="Times New Roman" w:cs="Calibri"/>
                      <w:b/>
                      <w:bCs/>
                      <w:color w:val="FF0000"/>
                      <w:lang w:val="en-GB" w:eastAsia="en-GB"/>
                    </w:rPr>
                  </w:pPr>
                  <w:r w:rsidRPr="00890E07">
                    <w:rPr>
                      <w:rFonts w:ascii="Calibri" w:hAnsi="Calibri" w:eastAsia="Times New Roman" w:cs="Calibri"/>
                      <w:b/>
                      <w:bCs/>
                      <w:color w:val="FF0000"/>
                      <w:lang w:val="en-GB" w:eastAsia="en-GB"/>
                    </w:rPr>
                    <w:t>-17.92%</w:t>
                  </w:r>
                </w:p>
              </w:tc>
            </w:tr>
          </w:tbl>
          <w:p w:rsidR="00890E07" w:rsidP="005A1E28" w:rsidRDefault="00890E07" w14:paraId="5B547ADD" w14:textId="77777777">
            <w:pPr>
              <w:pStyle w:val="TableParagraph"/>
              <w:tabs>
                <w:tab w:val="left" w:pos="157"/>
              </w:tabs>
              <w:spacing w:before="0"/>
              <w:jc w:val="left"/>
              <w:rPr>
                <w:sz w:val="24"/>
                <w:szCs w:val="24"/>
              </w:rPr>
            </w:pPr>
          </w:p>
          <w:p w:rsidR="000D11FA" w:rsidP="000D11FA" w:rsidRDefault="000D11FA" w14:paraId="52FA6300" w14:textId="17140123">
            <w:pPr>
              <w:pStyle w:val="TableParagraph"/>
              <w:spacing w:before="0"/>
              <w:jc w:val="left"/>
              <w:rPr>
                <w:sz w:val="24"/>
                <w:szCs w:val="24"/>
              </w:rPr>
            </w:pPr>
            <w:r>
              <w:rPr>
                <w:sz w:val="24"/>
                <w:szCs w:val="24"/>
              </w:rPr>
              <w:t>Overall revenue balances have increased across nursery/secondary schools but decreased across primary/special schools.</w:t>
            </w:r>
            <w:r w:rsidR="00786668">
              <w:rPr>
                <w:sz w:val="24"/>
                <w:szCs w:val="24"/>
              </w:rPr>
              <w:t xml:space="preserve"> The balances in 20/21 were higher than usual due to there being no balance control mechanism in place as result of the uncertainty around Covid and the closure/partial closure of schools.</w:t>
            </w:r>
          </w:p>
          <w:p w:rsidR="000D11FA" w:rsidP="000D11FA" w:rsidRDefault="000D11FA" w14:paraId="6AB4D45C" w14:textId="77777777">
            <w:pPr>
              <w:pStyle w:val="TableParagraph"/>
              <w:spacing w:before="0"/>
              <w:jc w:val="left"/>
              <w:rPr>
                <w:sz w:val="24"/>
                <w:szCs w:val="24"/>
              </w:rPr>
            </w:pPr>
          </w:p>
          <w:p w:rsidR="000D11FA" w:rsidP="000D11FA" w:rsidRDefault="000D11FA" w14:paraId="3643B3B3" w14:textId="438C5577">
            <w:pPr>
              <w:pStyle w:val="TableParagraph"/>
              <w:spacing w:before="0"/>
              <w:jc w:val="left"/>
              <w:rPr>
                <w:sz w:val="24"/>
                <w:szCs w:val="24"/>
              </w:rPr>
            </w:pPr>
            <w:r>
              <w:rPr>
                <w:sz w:val="24"/>
                <w:szCs w:val="24"/>
              </w:rPr>
              <w:t xml:space="preserve">The previous year end balances have been adjusted to include only maintained schools at the end of March 2022. Academy convertors since April 2021 have been removed </w:t>
            </w:r>
            <w:proofErr w:type="gramStart"/>
            <w:r>
              <w:rPr>
                <w:sz w:val="24"/>
                <w:szCs w:val="24"/>
              </w:rPr>
              <w:t>in order to</w:t>
            </w:r>
            <w:proofErr w:type="gramEnd"/>
            <w:r>
              <w:rPr>
                <w:sz w:val="24"/>
                <w:szCs w:val="24"/>
              </w:rPr>
              <w:t xml:space="preserve"> give a like for like comparison.</w:t>
            </w:r>
          </w:p>
          <w:p w:rsidR="000D11FA" w:rsidP="000D11FA" w:rsidRDefault="000D11FA" w14:paraId="5E51B18B" w14:textId="77777777">
            <w:pPr>
              <w:pStyle w:val="TableParagraph"/>
              <w:spacing w:before="0"/>
              <w:jc w:val="left"/>
              <w:rPr>
                <w:sz w:val="24"/>
                <w:szCs w:val="24"/>
              </w:rPr>
            </w:pPr>
          </w:p>
          <w:p w:rsidR="000D11FA" w:rsidP="000D11FA" w:rsidRDefault="000D11FA" w14:paraId="7F150153" w14:textId="25A620BF">
            <w:pPr>
              <w:pStyle w:val="TableParagraph"/>
              <w:spacing w:before="0"/>
              <w:jc w:val="left"/>
              <w:rPr>
                <w:sz w:val="24"/>
                <w:szCs w:val="24"/>
              </w:rPr>
            </w:pPr>
            <w:r>
              <w:rPr>
                <w:sz w:val="24"/>
                <w:szCs w:val="24"/>
              </w:rPr>
              <w:t xml:space="preserve">Appendix A at the end of the report details at school level the revenue balances </w:t>
            </w:r>
            <w:proofErr w:type="gramStart"/>
            <w:r>
              <w:rPr>
                <w:sz w:val="24"/>
                <w:szCs w:val="24"/>
              </w:rPr>
              <w:t>at</w:t>
            </w:r>
            <w:proofErr w:type="gramEnd"/>
            <w:r>
              <w:rPr>
                <w:sz w:val="24"/>
                <w:szCs w:val="24"/>
              </w:rPr>
              <w:t xml:space="preserve"> 31</w:t>
            </w:r>
            <w:r w:rsidRPr="002C4D08">
              <w:rPr>
                <w:sz w:val="24"/>
                <w:szCs w:val="24"/>
                <w:vertAlign w:val="superscript"/>
              </w:rPr>
              <w:t>st</w:t>
            </w:r>
            <w:r>
              <w:rPr>
                <w:sz w:val="24"/>
                <w:szCs w:val="24"/>
              </w:rPr>
              <w:t xml:space="preserve"> March 2022 and as a % of the schools delegated budget share.</w:t>
            </w:r>
          </w:p>
          <w:p w:rsidR="00577C1D" w:rsidP="005A1E28" w:rsidRDefault="00577C1D" w14:paraId="11303EF3" w14:textId="77777777">
            <w:pPr>
              <w:pStyle w:val="TableParagraph"/>
              <w:tabs>
                <w:tab w:val="left" w:pos="157"/>
              </w:tabs>
              <w:spacing w:before="0"/>
              <w:jc w:val="left"/>
              <w:rPr>
                <w:sz w:val="24"/>
                <w:szCs w:val="24"/>
              </w:rPr>
            </w:pPr>
          </w:p>
          <w:p w:rsidR="000D11FA" w:rsidP="005A1E28" w:rsidRDefault="000D11FA" w14:paraId="0D7C22B7" w14:textId="79B789D9">
            <w:pPr>
              <w:pStyle w:val="TableParagraph"/>
              <w:tabs>
                <w:tab w:val="left" w:pos="157"/>
              </w:tabs>
              <w:spacing w:before="0"/>
              <w:jc w:val="left"/>
              <w:rPr>
                <w:sz w:val="24"/>
                <w:szCs w:val="24"/>
              </w:rPr>
            </w:pPr>
            <w:r>
              <w:rPr>
                <w:sz w:val="24"/>
                <w:szCs w:val="24"/>
              </w:rPr>
              <w:lastRenderedPageBreak/>
              <w:t>The table below shows the banded level of balances as a % of the delegated budget share by phase</w:t>
            </w:r>
          </w:p>
          <w:p w:rsidR="000D11FA" w:rsidP="005A1E28" w:rsidRDefault="000D11FA" w14:paraId="06A54C9B" w14:textId="0E78794E">
            <w:pPr>
              <w:pStyle w:val="TableParagraph"/>
              <w:tabs>
                <w:tab w:val="left" w:pos="157"/>
              </w:tabs>
              <w:spacing w:before="0"/>
              <w:jc w:val="left"/>
              <w:rPr>
                <w:sz w:val="24"/>
                <w:szCs w:val="24"/>
              </w:rPr>
            </w:pPr>
          </w:p>
          <w:tbl>
            <w:tblPr>
              <w:tblW w:w="9226" w:type="dxa"/>
              <w:tblLayout w:type="fixed"/>
              <w:tblLook w:val="04A0" w:firstRow="1" w:lastRow="0" w:firstColumn="1" w:lastColumn="0" w:noHBand="0" w:noVBand="1"/>
            </w:tblPr>
            <w:tblGrid>
              <w:gridCol w:w="1179"/>
              <w:gridCol w:w="676"/>
              <w:gridCol w:w="567"/>
              <w:gridCol w:w="567"/>
              <w:gridCol w:w="567"/>
              <w:gridCol w:w="567"/>
              <w:gridCol w:w="708"/>
              <w:gridCol w:w="567"/>
              <w:gridCol w:w="567"/>
              <w:gridCol w:w="567"/>
              <w:gridCol w:w="567"/>
              <w:gridCol w:w="709"/>
              <w:gridCol w:w="709"/>
              <w:gridCol w:w="709"/>
            </w:tblGrid>
            <w:tr w:rsidRPr="000D11FA" w:rsidR="000D11FA" w:rsidTr="006765A3" w14:paraId="1C1F74AD" w14:textId="77777777">
              <w:trPr>
                <w:trHeight w:val="300"/>
              </w:trPr>
              <w:tc>
                <w:tcPr>
                  <w:tcW w:w="9226" w:type="dxa"/>
                  <w:gridSpan w:val="14"/>
                  <w:tcBorders>
                    <w:top w:val="single" w:color="auto" w:sz="4" w:space="0"/>
                    <w:left w:val="single" w:color="auto" w:sz="4" w:space="0"/>
                    <w:bottom w:val="single" w:color="auto" w:sz="4" w:space="0"/>
                    <w:right w:val="single" w:color="000000" w:sz="4" w:space="0"/>
                  </w:tcBorders>
                  <w:shd w:val="clear" w:color="000000" w:fill="D9D9D9"/>
                  <w:noWrap/>
                  <w:vAlign w:val="bottom"/>
                  <w:hideMark/>
                </w:tcPr>
                <w:p w:rsidRPr="000D11FA" w:rsidR="000D11FA" w:rsidP="000D11FA" w:rsidRDefault="000D11FA" w14:paraId="7B4EE120" w14:textId="77777777">
                  <w:pPr>
                    <w:widowControl/>
                    <w:autoSpaceDE/>
                    <w:autoSpaceDN/>
                    <w:jc w:val="center"/>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Balance as % of budget share</w:t>
                  </w:r>
                </w:p>
              </w:tc>
            </w:tr>
            <w:tr w:rsidRPr="000D11FA" w:rsidR="006765A3" w:rsidTr="006765A3" w14:paraId="127C4981" w14:textId="77777777">
              <w:trPr>
                <w:trHeight w:val="300"/>
              </w:trPr>
              <w:tc>
                <w:tcPr>
                  <w:tcW w:w="1179" w:type="dxa"/>
                  <w:tcBorders>
                    <w:top w:val="nil"/>
                    <w:left w:val="single" w:color="auto" w:sz="4" w:space="0"/>
                    <w:bottom w:val="single" w:color="auto" w:sz="4" w:space="0"/>
                    <w:right w:val="single" w:color="auto" w:sz="4" w:space="0"/>
                  </w:tcBorders>
                  <w:shd w:val="clear" w:color="auto" w:fill="auto"/>
                  <w:noWrap/>
                  <w:vAlign w:val="bottom"/>
                  <w:hideMark/>
                </w:tcPr>
                <w:p w:rsidRPr="000D11FA" w:rsidR="000D11FA" w:rsidP="000D11FA" w:rsidRDefault="000D11FA" w14:paraId="7DCBC19F" w14:textId="77777777">
                  <w:pPr>
                    <w:widowControl/>
                    <w:autoSpaceDE/>
                    <w:autoSpaceDN/>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Phase</w:t>
                  </w:r>
                </w:p>
              </w:tc>
              <w:tc>
                <w:tcPr>
                  <w:tcW w:w="676"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0CCFFA7C" w14:textId="77777777">
                  <w:pPr>
                    <w:widowControl/>
                    <w:autoSpaceDE/>
                    <w:autoSpaceDN/>
                    <w:jc w:val="center"/>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-1%</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21C91521" w14:textId="77777777">
                  <w:pPr>
                    <w:widowControl/>
                    <w:autoSpaceDE/>
                    <w:autoSpaceDN/>
                    <w:jc w:val="center"/>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0%</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3A3C61AA" w14:textId="77777777">
                  <w:pPr>
                    <w:widowControl/>
                    <w:autoSpaceDE/>
                    <w:autoSpaceDN/>
                    <w:jc w:val="center"/>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2%</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397B85F5" w14:textId="77777777">
                  <w:pPr>
                    <w:widowControl/>
                    <w:autoSpaceDE/>
                    <w:autoSpaceDN/>
                    <w:jc w:val="center"/>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3%</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52CEE19E" w14:textId="77777777">
                  <w:pPr>
                    <w:widowControl/>
                    <w:autoSpaceDE/>
                    <w:autoSpaceDN/>
                    <w:jc w:val="center"/>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4%</w:t>
                  </w:r>
                </w:p>
              </w:tc>
              <w:tc>
                <w:tcPr>
                  <w:tcW w:w="708"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65B24D87" w14:textId="77777777">
                  <w:pPr>
                    <w:widowControl/>
                    <w:autoSpaceDE/>
                    <w:autoSpaceDN/>
                    <w:jc w:val="center"/>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5%</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045519CD" w14:textId="77777777">
                  <w:pPr>
                    <w:widowControl/>
                    <w:autoSpaceDE/>
                    <w:autoSpaceDN/>
                    <w:jc w:val="center"/>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6%</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4FCB7436" w14:textId="77777777">
                  <w:pPr>
                    <w:widowControl/>
                    <w:autoSpaceDE/>
                    <w:autoSpaceDN/>
                    <w:jc w:val="center"/>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7%</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4B3611EF" w14:textId="77777777">
                  <w:pPr>
                    <w:widowControl/>
                    <w:autoSpaceDE/>
                    <w:autoSpaceDN/>
                    <w:jc w:val="center"/>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8%</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745AE140" w14:textId="77777777">
                  <w:pPr>
                    <w:widowControl/>
                    <w:autoSpaceDE/>
                    <w:autoSpaceDN/>
                    <w:jc w:val="center"/>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9%</w:t>
                  </w:r>
                </w:p>
              </w:tc>
              <w:tc>
                <w:tcPr>
                  <w:tcW w:w="709"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5D8055E0" w14:textId="77777777">
                  <w:pPr>
                    <w:widowControl/>
                    <w:autoSpaceDE/>
                    <w:autoSpaceDN/>
                    <w:jc w:val="center"/>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10%</w:t>
                  </w:r>
                </w:p>
              </w:tc>
              <w:tc>
                <w:tcPr>
                  <w:tcW w:w="709"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1F6B5582" w14:textId="77777777">
                  <w:pPr>
                    <w:widowControl/>
                    <w:autoSpaceDE/>
                    <w:autoSpaceDN/>
                    <w:jc w:val="center"/>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16%</w:t>
                  </w:r>
                </w:p>
              </w:tc>
              <w:tc>
                <w:tcPr>
                  <w:tcW w:w="709"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73BC1B9D" w14:textId="77777777">
                  <w:pPr>
                    <w:widowControl/>
                    <w:autoSpaceDE/>
                    <w:autoSpaceDN/>
                    <w:jc w:val="center"/>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Total</w:t>
                  </w:r>
                </w:p>
              </w:tc>
            </w:tr>
            <w:tr w:rsidRPr="000D11FA" w:rsidR="006765A3" w:rsidTr="006765A3" w14:paraId="3809143B" w14:textId="77777777">
              <w:trPr>
                <w:trHeight w:val="300"/>
              </w:trPr>
              <w:tc>
                <w:tcPr>
                  <w:tcW w:w="1179" w:type="dxa"/>
                  <w:tcBorders>
                    <w:top w:val="nil"/>
                    <w:left w:val="single" w:color="auto" w:sz="4" w:space="0"/>
                    <w:bottom w:val="single" w:color="auto" w:sz="4" w:space="0"/>
                    <w:right w:val="single" w:color="auto" w:sz="4" w:space="0"/>
                  </w:tcBorders>
                  <w:shd w:val="clear" w:color="auto" w:fill="auto"/>
                  <w:noWrap/>
                  <w:vAlign w:val="bottom"/>
                  <w:hideMark/>
                </w:tcPr>
                <w:p w:rsidRPr="000D11FA" w:rsidR="000D11FA" w:rsidP="000D11FA" w:rsidRDefault="000D11FA" w14:paraId="451C89E4"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Nursery</w:t>
                  </w:r>
                </w:p>
              </w:tc>
              <w:tc>
                <w:tcPr>
                  <w:tcW w:w="676"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72E2DA39"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03DABA37"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79268D0B"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56FDE09F"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649F16E4"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708"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463E0E95"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55C2373B"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16CDA8C1"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6ACFB12D"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3CCD0CF9" w14:textId="77777777">
                  <w:pPr>
                    <w:widowControl/>
                    <w:autoSpaceDE/>
                    <w:autoSpaceDN/>
                    <w:jc w:val="right"/>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1</w:t>
                  </w:r>
                </w:p>
              </w:tc>
              <w:tc>
                <w:tcPr>
                  <w:tcW w:w="709"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21778F97"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709"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02CC5340"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709"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73A264FC" w14:textId="77777777">
                  <w:pPr>
                    <w:widowControl/>
                    <w:autoSpaceDE/>
                    <w:autoSpaceDN/>
                    <w:jc w:val="right"/>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1</w:t>
                  </w:r>
                </w:p>
              </w:tc>
            </w:tr>
            <w:tr w:rsidRPr="000D11FA" w:rsidR="006765A3" w:rsidTr="006765A3" w14:paraId="080CDAEE" w14:textId="77777777">
              <w:trPr>
                <w:trHeight w:val="300"/>
              </w:trPr>
              <w:tc>
                <w:tcPr>
                  <w:tcW w:w="1179" w:type="dxa"/>
                  <w:tcBorders>
                    <w:top w:val="nil"/>
                    <w:left w:val="single" w:color="auto" w:sz="4" w:space="0"/>
                    <w:bottom w:val="single" w:color="auto" w:sz="4" w:space="0"/>
                    <w:right w:val="single" w:color="auto" w:sz="4" w:space="0"/>
                  </w:tcBorders>
                  <w:shd w:val="clear" w:color="auto" w:fill="auto"/>
                  <w:noWrap/>
                  <w:vAlign w:val="bottom"/>
                  <w:hideMark/>
                </w:tcPr>
                <w:p w:rsidRPr="000D11FA" w:rsidR="000D11FA" w:rsidP="000D11FA" w:rsidRDefault="000D11FA" w14:paraId="4F59EF94"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Primary</w:t>
                  </w:r>
                </w:p>
              </w:tc>
              <w:tc>
                <w:tcPr>
                  <w:tcW w:w="676"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4848D9EE" w14:textId="77777777">
                  <w:pPr>
                    <w:widowControl/>
                    <w:autoSpaceDE/>
                    <w:autoSpaceDN/>
                    <w:jc w:val="right"/>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1</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2DDD5F25" w14:textId="77777777">
                  <w:pPr>
                    <w:widowControl/>
                    <w:autoSpaceDE/>
                    <w:autoSpaceDN/>
                    <w:jc w:val="right"/>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1</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2097E68F" w14:textId="77777777">
                  <w:pPr>
                    <w:widowControl/>
                    <w:autoSpaceDE/>
                    <w:autoSpaceDN/>
                    <w:jc w:val="right"/>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1</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7E74C6CD" w14:textId="77777777">
                  <w:pPr>
                    <w:widowControl/>
                    <w:autoSpaceDE/>
                    <w:autoSpaceDN/>
                    <w:jc w:val="right"/>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3</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60FB91EB" w14:textId="77777777">
                  <w:pPr>
                    <w:widowControl/>
                    <w:autoSpaceDE/>
                    <w:autoSpaceDN/>
                    <w:jc w:val="right"/>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2</w:t>
                  </w:r>
                </w:p>
              </w:tc>
              <w:tc>
                <w:tcPr>
                  <w:tcW w:w="708"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2E19D07E" w14:textId="77777777">
                  <w:pPr>
                    <w:widowControl/>
                    <w:autoSpaceDE/>
                    <w:autoSpaceDN/>
                    <w:jc w:val="right"/>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4</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2F604FBC" w14:textId="77777777">
                  <w:pPr>
                    <w:widowControl/>
                    <w:autoSpaceDE/>
                    <w:autoSpaceDN/>
                    <w:jc w:val="right"/>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4</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1CDFB099" w14:textId="77777777">
                  <w:pPr>
                    <w:widowControl/>
                    <w:autoSpaceDE/>
                    <w:autoSpaceDN/>
                    <w:jc w:val="right"/>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1</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4C869421" w14:textId="77777777">
                  <w:pPr>
                    <w:widowControl/>
                    <w:autoSpaceDE/>
                    <w:autoSpaceDN/>
                    <w:jc w:val="right"/>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3</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61ED98D1"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709"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730C7A2A" w14:textId="77777777">
                  <w:pPr>
                    <w:widowControl/>
                    <w:autoSpaceDE/>
                    <w:autoSpaceDN/>
                    <w:jc w:val="right"/>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1</w:t>
                  </w:r>
                </w:p>
              </w:tc>
              <w:tc>
                <w:tcPr>
                  <w:tcW w:w="709"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40B7A135" w14:textId="77777777">
                  <w:pPr>
                    <w:widowControl/>
                    <w:autoSpaceDE/>
                    <w:autoSpaceDN/>
                    <w:jc w:val="right"/>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1</w:t>
                  </w:r>
                </w:p>
              </w:tc>
              <w:tc>
                <w:tcPr>
                  <w:tcW w:w="709"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5FB04325" w14:textId="77777777">
                  <w:pPr>
                    <w:widowControl/>
                    <w:autoSpaceDE/>
                    <w:autoSpaceDN/>
                    <w:jc w:val="right"/>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22</w:t>
                  </w:r>
                </w:p>
              </w:tc>
            </w:tr>
            <w:tr w:rsidRPr="000D11FA" w:rsidR="006765A3" w:rsidTr="006765A3" w14:paraId="35C94A35" w14:textId="77777777">
              <w:trPr>
                <w:trHeight w:val="300"/>
              </w:trPr>
              <w:tc>
                <w:tcPr>
                  <w:tcW w:w="1179" w:type="dxa"/>
                  <w:tcBorders>
                    <w:top w:val="nil"/>
                    <w:left w:val="single" w:color="auto" w:sz="4" w:space="0"/>
                    <w:bottom w:val="single" w:color="auto" w:sz="4" w:space="0"/>
                    <w:right w:val="single" w:color="auto" w:sz="4" w:space="0"/>
                  </w:tcBorders>
                  <w:shd w:val="clear" w:color="auto" w:fill="auto"/>
                  <w:noWrap/>
                  <w:vAlign w:val="bottom"/>
                  <w:hideMark/>
                </w:tcPr>
                <w:p w:rsidRPr="000D11FA" w:rsidR="000D11FA" w:rsidP="000D11FA" w:rsidRDefault="000D11FA" w14:paraId="703792EE"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Secondary</w:t>
                  </w:r>
                </w:p>
              </w:tc>
              <w:tc>
                <w:tcPr>
                  <w:tcW w:w="676"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1F0CB6B0"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45C94C16"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5678D323"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7448DC2C"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2A338ADB"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708"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1662CB9A"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672996D4" w14:textId="77777777">
                  <w:pPr>
                    <w:widowControl/>
                    <w:autoSpaceDE/>
                    <w:autoSpaceDN/>
                    <w:jc w:val="right"/>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1</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418C3296" w14:textId="77777777">
                  <w:pPr>
                    <w:widowControl/>
                    <w:autoSpaceDE/>
                    <w:autoSpaceDN/>
                    <w:jc w:val="right"/>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1</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3A7D69BA"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784DD81D"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709"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5D68BEAE"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709"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1667F3A7"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709"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2CFB0A5D" w14:textId="77777777">
                  <w:pPr>
                    <w:widowControl/>
                    <w:autoSpaceDE/>
                    <w:autoSpaceDN/>
                    <w:jc w:val="right"/>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2</w:t>
                  </w:r>
                </w:p>
              </w:tc>
            </w:tr>
            <w:tr w:rsidRPr="000D11FA" w:rsidR="006765A3" w:rsidTr="006765A3" w14:paraId="21478142" w14:textId="77777777">
              <w:trPr>
                <w:trHeight w:val="300"/>
              </w:trPr>
              <w:tc>
                <w:tcPr>
                  <w:tcW w:w="1179" w:type="dxa"/>
                  <w:tcBorders>
                    <w:top w:val="nil"/>
                    <w:left w:val="single" w:color="auto" w:sz="4" w:space="0"/>
                    <w:bottom w:val="single" w:color="auto" w:sz="4" w:space="0"/>
                    <w:right w:val="single" w:color="auto" w:sz="4" w:space="0"/>
                  </w:tcBorders>
                  <w:shd w:val="clear" w:color="auto" w:fill="auto"/>
                  <w:noWrap/>
                  <w:vAlign w:val="bottom"/>
                  <w:hideMark/>
                </w:tcPr>
                <w:p w:rsidRPr="000D11FA" w:rsidR="000D11FA" w:rsidP="000D11FA" w:rsidRDefault="000D11FA" w14:paraId="0630A47B"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Special</w:t>
                  </w:r>
                </w:p>
              </w:tc>
              <w:tc>
                <w:tcPr>
                  <w:tcW w:w="676"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1322B244"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351D9B4B"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4BDB55C0"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387587DC"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0FE9C5FC"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708"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165D1DD4" w14:textId="77777777">
                  <w:pPr>
                    <w:widowControl/>
                    <w:autoSpaceDE/>
                    <w:autoSpaceDN/>
                    <w:jc w:val="right"/>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1</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0D4E1A39"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0850A5C5"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18F43EBA" w14:textId="77777777">
                  <w:pPr>
                    <w:widowControl/>
                    <w:autoSpaceDE/>
                    <w:autoSpaceDN/>
                    <w:jc w:val="right"/>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2</w:t>
                  </w:r>
                </w:p>
              </w:tc>
              <w:tc>
                <w:tcPr>
                  <w:tcW w:w="567"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6D1715F9"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709"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29B2D856"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709"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4D221DDA" w14:textId="77777777">
                  <w:pPr>
                    <w:widowControl/>
                    <w:autoSpaceDE/>
                    <w:autoSpaceDN/>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 </w:t>
                  </w:r>
                </w:p>
              </w:tc>
              <w:tc>
                <w:tcPr>
                  <w:tcW w:w="709" w:type="dxa"/>
                  <w:tcBorders>
                    <w:top w:val="nil"/>
                    <w:left w:val="nil"/>
                    <w:bottom w:val="single" w:color="auto" w:sz="4" w:space="0"/>
                    <w:right w:val="single" w:color="auto" w:sz="4" w:space="0"/>
                  </w:tcBorders>
                  <w:shd w:val="clear" w:color="auto" w:fill="auto"/>
                  <w:noWrap/>
                  <w:vAlign w:val="bottom"/>
                  <w:hideMark/>
                </w:tcPr>
                <w:p w:rsidRPr="000D11FA" w:rsidR="000D11FA" w:rsidP="000D11FA" w:rsidRDefault="000D11FA" w14:paraId="30E02065" w14:textId="77777777">
                  <w:pPr>
                    <w:widowControl/>
                    <w:autoSpaceDE/>
                    <w:autoSpaceDN/>
                    <w:jc w:val="right"/>
                    <w:rPr>
                      <w:rFonts w:ascii="Calibri" w:hAnsi="Calibri" w:eastAsia="Times New Roman" w:cs="Calibri"/>
                      <w:color w:val="000000"/>
                      <w:lang w:val="en-GB" w:eastAsia="en-GB"/>
                    </w:rPr>
                  </w:pPr>
                  <w:r w:rsidRPr="000D11FA">
                    <w:rPr>
                      <w:rFonts w:ascii="Calibri" w:hAnsi="Calibri" w:eastAsia="Times New Roman" w:cs="Calibri"/>
                      <w:color w:val="000000"/>
                      <w:lang w:val="en-GB" w:eastAsia="en-GB"/>
                    </w:rPr>
                    <w:t>3</w:t>
                  </w:r>
                </w:p>
              </w:tc>
            </w:tr>
            <w:tr w:rsidRPr="000D11FA" w:rsidR="006765A3" w:rsidTr="006765A3" w14:paraId="3CC6ACF5" w14:textId="77777777">
              <w:trPr>
                <w:trHeight w:val="300"/>
              </w:trPr>
              <w:tc>
                <w:tcPr>
                  <w:tcW w:w="1179" w:type="dxa"/>
                  <w:tcBorders>
                    <w:top w:val="nil"/>
                    <w:left w:val="single" w:color="auto" w:sz="4" w:space="0"/>
                    <w:bottom w:val="single" w:color="auto" w:sz="4" w:space="0"/>
                    <w:right w:val="single" w:color="auto" w:sz="4" w:space="0"/>
                  </w:tcBorders>
                  <w:shd w:val="clear" w:color="000000" w:fill="D9D9D9"/>
                  <w:noWrap/>
                  <w:vAlign w:val="bottom"/>
                  <w:hideMark/>
                </w:tcPr>
                <w:p w:rsidRPr="000D11FA" w:rsidR="000D11FA" w:rsidP="000D11FA" w:rsidRDefault="000D11FA" w14:paraId="4F368E27" w14:textId="77777777">
                  <w:pPr>
                    <w:widowControl/>
                    <w:autoSpaceDE/>
                    <w:autoSpaceDN/>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Total</w:t>
                  </w:r>
                </w:p>
              </w:tc>
              <w:tc>
                <w:tcPr>
                  <w:tcW w:w="676" w:type="dxa"/>
                  <w:tcBorders>
                    <w:top w:val="nil"/>
                    <w:left w:val="nil"/>
                    <w:bottom w:val="single" w:color="auto" w:sz="4" w:space="0"/>
                    <w:right w:val="single" w:color="auto" w:sz="4" w:space="0"/>
                  </w:tcBorders>
                  <w:shd w:val="clear" w:color="000000" w:fill="D9D9D9"/>
                  <w:noWrap/>
                  <w:vAlign w:val="bottom"/>
                  <w:hideMark/>
                </w:tcPr>
                <w:p w:rsidRPr="000D11FA" w:rsidR="000D11FA" w:rsidP="000D11FA" w:rsidRDefault="000D11FA" w14:paraId="7AF84B73" w14:textId="77777777">
                  <w:pPr>
                    <w:widowControl/>
                    <w:autoSpaceDE/>
                    <w:autoSpaceDN/>
                    <w:jc w:val="right"/>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1</w:t>
                  </w:r>
                </w:p>
              </w:tc>
              <w:tc>
                <w:tcPr>
                  <w:tcW w:w="567" w:type="dxa"/>
                  <w:tcBorders>
                    <w:top w:val="nil"/>
                    <w:left w:val="nil"/>
                    <w:bottom w:val="single" w:color="auto" w:sz="4" w:space="0"/>
                    <w:right w:val="single" w:color="auto" w:sz="4" w:space="0"/>
                  </w:tcBorders>
                  <w:shd w:val="clear" w:color="000000" w:fill="D9D9D9"/>
                  <w:noWrap/>
                  <w:vAlign w:val="bottom"/>
                  <w:hideMark/>
                </w:tcPr>
                <w:p w:rsidRPr="000D11FA" w:rsidR="000D11FA" w:rsidP="000D11FA" w:rsidRDefault="000D11FA" w14:paraId="22738074" w14:textId="77777777">
                  <w:pPr>
                    <w:widowControl/>
                    <w:autoSpaceDE/>
                    <w:autoSpaceDN/>
                    <w:jc w:val="right"/>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1</w:t>
                  </w:r>
                </w:p>
              </w:tc>
              <w:tc>
                <w:tcPr>
                  <w:tcW w:w="567" w:type="dxa"/>
                  <w:tcBorders>
                    <w:top w:val="nil"/>
                    <w:left w:val="nil"/>
                    <w:bottom w:val="single" w:color="auto" w:sz="4" w:space="0"/>
                    <w:right w:val="single" w:color="auto" w:sz="4" w:space="0"/>
                  </w:tcBorders>
                  <w:shd w:val="clear" w:color="000000" w:fill="D9D9D9"/>
                  <w:noWrap/>
                  <w:vAlign w:val="bottom"/>
                  <w:hideMark/>
                </w:tcPr>
                <w:p w:rsidRPr="000D11FA" w:rsidR="000D11FA" w:rsidP="000D11FA" w:rsidRDefault="000D11FA" w14:paraId="4413976A" w14:textId="77777777">
                  <w:pPr>
                    <w:widowControl/>
                    <w:autoSpaceDE/>
                    <w:autoSpaceDN/>
                    <w:jc w:val="right"/>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1</w:t>
                  </w:r>
                </w:p>
              </w:tc>
              <w:tc>
                <w:tcPr>
                  <w:tcW w:w="567" w:type="dxa"/>
                  <w:tcBorders>
                    <w:top w:val="nil"/>
                    <w:left w:val="nil"/>
                    <w:bottom w:val="single" w:color="auto" w:sz="4" w:space="0"/>
                    <w:right w:val="single" w:color="auto" w:sz="4" w:space="0"/>
                  </w:tcBorders>
                  <w:shd w:val="clear" w:color="000000" w:fill="D9D9D9"/>
                  <w:noWrap/>
                  <w:vAlign w:val="bottom"/>
                  <w:hideMark/>
                </w:tcPr>
                <w:p w:rsidRPr="000D11FA" w:rsidR="000D11FA" w:rsidP="000D11FA" w:rsidRDefault="000D11FA" w14:paraId="3EA49CF8" w14:textId="77777777">
                  <w:pPr>
                    <w:widowControl/>
                    <w:autoSpaceDE/>
                    <w:autoSpaceDN/>
                    <w:jc w:val="right"/>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3</w:t>
                  </w:r>
                </w:p>
              </w:tc>
              <w:tc>
                <w:tcPr>
                  <w:tcW w:w="567" w:type="dxa"/>
                  <w:tcBorders>
                    <w:top w:val="nil"/>
                    <w:left w:val="nil"/>
                    <w:bottom w:val="single" w:color="auto" w:sz="4" w:space="0"/>
                    <w:right w:val="single" w:color="auto" w:sz="4" w:space="0"/>
                  </w:tcBorders>
                  <w:shd w:val="clear" w:color="000000" w:fill="D9D9D9"/>
                  <w:noWrap/>
                  <w:vAlign w:val="bottom"/>
                  <w:hideMark/>
                </w:tcPr>
                <w:p w:rsidRPr="000D11FA" w:rsidR="000D11FA" w:rsidP="000D11FA" w:rsidRDefault="000D11FA" w14:paraId="4C26994E" w14:textId="77777777">
                  <w:pPr>
                    <w:widowControl/>
                    <w:autoSpaceDE/>
                    <w:autoSpaceDN/>
                    <w:jc w:val="right"/>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2</w:t>
                  </w:r>
                </w:p>
              </w:tc>
              <w:tc>
                <w:tcPr>
                  <w:tcW w:w="708" w:type="dxa"/>
                  <w:tcBorders>
                    <w:top w:val="nil"/>
                    <w:left w:val="nil"/>
                    <w:bottom w:val="single" w:color="auto" w:sz="4" w:space="0"/>
                    <w:right w:val="single" w:color="auto" w:sz="4" w:space="0"/>
                  </w:tcBorders>
                  <w:shd w:val="clear" w:color="000000" w:fill="D9D9D9"/>
                  <w:noWrap/>
                  <w:vAlign w:val="bottom"/>
                  <w:hideMark/>
                </w:tcPr>
                <w:p w:rsidRPr="000D11FA" w:rsidR="000D11FA" w:rsidP="000D11FA" w:rsidRDefault="000D11FA" w14:paraId="7FD41C8D" w14:textId="77777777">
                  <w:pPr>
                    <w:widowControl/>
                    <w:autoSpaceDE/>
                    <w:autoSpaceDN/>
                    <w:jc w:val="right"/>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5</w:t>
                  </w:r>
                </w:p>
              </w:tc>
              <w:tc>
                <w:tcPr>
                  <w:tcW w:w="567" w:type="dxa"/>
                  <w:tcBorders>
                    <w:top w:val="nil"/>
                    <w:left w:val="nil"/>
                    <w:bottom w:val="single" w:color="auto" w:sz="4" w:space="0"/>
                    <w:right w:val="single" w:color="auto" w:sz="4" w:space="0"/>
                  </w:tcBorders>
                  <w:shd w:val="clear" w:color="000000" w:fill="D9D9D9"/>
                  <w:noWrap/>
                  <w:vAlign w:val="bottom"/>
                  <w:hideMark/>
                </w:tcPr>
                <w:p w:rsidRPr="000D11FA" w:rsidR="000D11FA" w:rsidP="000D11FA" w:rsidRDefault="000D11FA" w14:paraId="0758378D" w14:textId="77777777">
                  <w:pPr>
                    <w:widowControl/>
                    <w:autoSpaceDE/>
                    <w:autoSpaceDN/>
                    <w:jc w:val="right"/>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5</w:t>
                  </w:r>
                </w:p>
              </w:tc>
              <w:tc>
                <w:tcPr>
                  <w:tcW w:w="567" w:type="dxa"/>
                  <w:tcBorders>
                    <w:top w:val="nil"/>
                    <w:left w:val="nil"/>
                    <w:bottom w:val="single" w:color="auto" w:sz="4" w:space="0"/>
                    <w:right w:val="single" w:color="auto" w:sz="4" w:space="0"/>
                  </w:tcBorders>
                  <w:shd w:val="clear" w:color="000000" w:fill="D9D9D9"/>
                  <w:noWrap/>
                  <w:vAlign w:val="bottom"/>
                  <w:hideMark/>
                </w:tcPr>
                <w:p w:rsidRPr="000D11FA" w:rsidR="000D11FA" w:rsidP="000D11FA" w:rsidRDefault="000D11FA" w14:paraId="5E57C61B" w14:textId="77777777">
                  <w:pPr>
                    <w:widowControl/>
                    <w:autoSpaceDE/>
                    <w:autoSpaceDN/>
                    <w:jc w:val="right"/>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2</w:t>
                  </w:r>
                </w:p>
              </w:tc>
              <w:tc>
                <w:tcPr>
                  <w:tcW w:w="567" w:type="dxa"/>
                  <w:tcBorders>
                    <w:top w:val="nil"/>
                    <w:left w:val="nil"/>
                    <w:bottom w:val="single" w:color="auto" w:sz="4" w:space="0"/>
                    <w:right w:val="single" w:color="auto" w:sz="4" w:space="0"/>
                  </w:tcBorders>
                  <w:shd w:val="clear" w:color="000000" w:fill="D9D9D9"/>
                  <w:noWrap/>
                  <w:vAlign w:val="bottom"/>
                  <w:hideMark/>
                </w:tcPr>
                <w:p w:rsidRPr="000D11FA" w:rsidR="000D11FA" w:rsidP="000D11FA" w:rsidRDefault="000D11FA" w14:paraId="6857E840" w14:textId="77777777">
                  <w:pPr>
                    <w:widowControl/>
                    <w:autoSpaceDE/>
                    <w:autoSpaceDN/>
                    <w:jc w:val="right"/>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5</w:t>
                  </w:r>
                </w:p>
              </w:tc>
              <w:tc>
                <w:tcPr>
                  <w:tcW w:w="567" w:type="dxa"/>
                  <w:tcBorders>
                    <w:top w:val="nil"/>
                    <w:left w:val="nil"/>
                    <w:bottom w:val="single" w:color="auto" w:sz="4" w:space="0"/>
                    <w:right w:val="single" w:color="auto" w:sz="4" w:space="0"/>
                  </w:tcBorders>
                  <w:shd w:val="clear" w:color="000000" w:fill="D9D9D9"/>
                  <w:noWrap/>
                  <w:vAlign w:val="bottom"/>
                  <w:hideMark/>
                </w:tcPr>
                <w:p w:rsidRPr="000D11FA" w:rsidR="000D11FA" w:rsidP="000D11FA" w:rsidRDefault="000D11FA" w14:paraId="0F75D56A" w14:textId="77777777">
                  <w:pPr>
                    <w:widowControl/>
                    <w:autoSpaceDE/>
                    <w:autoSpaceDN/>
                    <w:jc w:val="right"/>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1</w:t>
                  </w:r>
                </w:p>
              </w:tc>
              <w:tc>
                <w:tcPr>
                  <w:tcW w:w="709" w:type="dxa"/>
                  <w:tcBorders>
                    <w:top w:val="nil"/>
                    <w:left w:val="nil"/>
                    <w:bottom w:val="single" w:color="auto" w:sz="4" w:space="0"/>
                    <w:right w:val="single" w:color="auto" w:sz="4" w:space="0"/>
                  </w:tcBorders>
                  <w:shd w:val="clear" w:color="000000" w:fill="D9D9D9"/>
                  <w:noWrap/>
                  <w:vAlign w:val="bottom"/>
                  <w:hideMark/>
                </w:tcPr>
                <w:p w:rsidRPr="000D11FA" w:rsidR="000D11FA" w:rsidP="000D11FA" w:rsidRDefault="000D11FA" w14:paraId="36890825" w14:textId="77777777">
                  <w:pPr>
                    <w:widowControl/>
                    <w:autoSpaceDE/>
                    <w:autoSpaceDN/>
                    <w:jc w:val="right"/>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1</w:t>
                  </w:r>
                </w:p>
              </w:tc>
              <w:tc>
                <w:tcPr>
                  <w:tcW w:w="709" w:type="dxa"/>
                  <w:tcBorders>
                    <w:top w:val="nil"/>
                    <w:left w:val="nil"/>
                    <w:bottom w:val="single" w:color="auto" w:sz="4" w:space="0"/>
                    <w:right w:val="single" w:color="auto" w:sz="4" w:space="0"/>
                  </w:tcBorders>
                  <w:shd w:val="clear" w:color="000000" w:fill="D9D9D9"/>
                  <w:noWrap/>
                  <w:vAlign w:val="bottom"/>
                  <w:hideMark/>
                </w:tcPr>
                <w:p w:rsidRPr="000D11FA" w:rsidR="000D11FA" w:rsidP="000D11FA" w:rsidRDefault="000D11FA" w14:paraId="420A359A" w14:textId="77777777">
                  <w:pPr>
                    <w:widowControl/>
                    <w:autoSpaceDE/>
                    <w:autoSpaceDN/>
                    <w:jc w:val="right"/>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1</w:t>
                  </w:r>
                </w:p>
              </w:tc>
              <w:tc>
                <w:tcPr>
                  <w:tcW w:w="709" w:type="dxa"/>
                  <w:tcBorders>
                    <w:top w:val="nil"/>
                    <w:left w:val="nil"/>
                    <w:bottom w:val="single" w:color="auto" w:sz="4" w:space="0"/>
                    <w:right w:val="single" w:color="auto" w:sz="4" w:space="0"/>
                  </w:tcBorders>
                  <w:shd w:val="clear" w:color="000000" w:fill="D9D9D9"/>
                  <w:noWrap/>
                  <w:vAlign w:val="bottom"/>
                  <w:hideMark/>
                </w:tcPr>
                <w:p w:rsidRPr="000D11FA" w:rsidR="000D11FA" w:rsidP="000D11FA" w:rsidRDefault="000D11FA" w14:paraId="1CB73DB3" w14:textId="77777777">
                  <w:pPr>
                    <w:widowControl/>
                    <w:autoSpaceDE/>
                    <w:autoSpaceDN/>
                    <w:jc w:val="right"/>
                    <w:rPr>
                      <w:rFonts w:ascii="Calibri" w:hAnsi="Calibri" w:eastAsia="Times New Roman" w:cs="Calibri"/>
                      <w:b/>
                      <w:bCs/>
                      <w:color w:val="000000"/>
                      <w:lang w:val="en-GB" w:eastAsia="en-GB"/>
                    </w:rPr>
                  </w:pPr>
                  <w:r w:rsidRPr="000D11FA">
                    <w:rPr>
                      <w:rFonts w:ascii="Calibri" w:hAnsi="Calibri" w:eastAsia="Times New Roman" w:cs="Calibri"/>
                      <w:b/>
                      <w:bCs/>
                      <w:color w:val="000000"/>
                      <w:lang w:val="en-GB" w:eastAsia="en-GB"/>
                    </w:rPr>
                    <w:t>28</w:t>
                  </w:r>
                </w:p>
              </w:tc>
            </w:tr>
          </w:tbl>
          <w:p w:rsidR="002C7CC8" w:rsidP="005A1E28" w:rsidRDefault="002C7CC8" w14:paraId="05B7E1B6" w14:textId="77777777">
            <w:pPr>
              <w:pStyle w:val="TableParagraph"/>
              <w:tabs>
                <w:tab w:val="left" w:pos="157"/>
              </w:tabs>
              <w:spacing w:before="0"/>
              <w:jc w:val="left"/>
              <w:rPr>
                <w:sz w:val="24"/>
                <w:szCs w:val="24"/>
              </w:rPr>
            </w:pPr>
          </w:p>
          <w:p w:rsidR="000D11FA" w:rsidP="005A1E28" w:rsidRDefault="00C617A6" w14:paraId="4CFBFE99" w14:textId="054E09BA">
            <w:pPr>
              <w:pStyle w:val="TableParagraph"/>
              <w:tabs>
                <w:tab w:val="left" w:pos="157"/>
              </w:tabs>
              <w:spacing w:before="0"/>
              <w:jc w:val="left"/>
              <w:rPr>
                <w:sz w:val="24"/>
                <w:szCs w:val="24"/>
              </w:rPr>
            </w:pPr>
            <w:r>
              <w:rPr>
                <w:sz w:val="24"/>
                <w:szCs w:val="24"/>
              </w:rPr>
              <w:t>The graph below shows the change in current maintained schools balances over the last 5 financial years:</w:t>
            </w:r>
          </w:p>
          <w:p w:rsidR="00C617A6" w:rsidP="005A1E28" w:rsidRDefault="00C617A6" w14:paraId="454E96AC" w14:textId="77777777">
            <w:pPr>
              <w:pStyle w:val="TableParagraph"/>
              <w:tabs>
                <w:tab w:val="left" w:pos="157"/>
              </w:tabs>
              <w:spacing w:before="0"/>
              <w:jc w:val="left"/>
              <w:rPr>
                <w:sz w:val="24"/>
                <w:szCs w:val="24"/>
              </w:rPr>
            </w:pPr>
          </w:p>
          <w:p w:rsidR="00C617A6" w:rsidP="005A1E28" w:rsidRDefault="00C617A6" w14:paraId="334C00E0" w14:textId="77777777">
            <w:pPr>
              <w:pStyle w:val="TableParagraph"/>
              <w:tabs>
                <w:tab w:val="left" w:pos="157"/>
              </w:tabs>
              <w:spacing w:before="0"/>
              <w:jc w:val="left"/>
              <w:rPr>
                <w:sz w:val="24"/>
                <w:szCs w:val="24"/>
              </w:rPr>
            </w:pPr>
            <w:r>
              <w:rPr>
                <w:noProof/>
              </w:rPr>
              <w:drawing>
                <wp:inline distT="0" distB="0" distL="0" distR="0" wp14:anchorId="6914C3B8" wp14:editId="5FBE536C">
                  <wp:extent cx="6019800" cy="2533650"/>
                  <wp:effectExtent l="0" t="0" r="0" b="0"/>
                  <wp:docPr id="1" name="Chart 1">
                    <a:extLst xmlns:a="http://schemas.openxmlformats.org/drawingml/2006/main">
                      <a:ext uri="{FF2B5EF4-FFF2-40B4-BE49-F238E27FC236}">
                        <a16:creationId xmlns:a16="http://schemas.microsoft.com/office/drawing/2014/main" id="{A12017DE-4FFA-4ADB-8DE2-73B4F1EC7F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617A6" w:rsidP="005A1E28" w:rsidRDefault="00C617A6" w14:paraId="419F8D3B" w14:textId="77777777">
            <w:pPr>
              <w:pStyle w:val="TableParagraph"/>
              <w:tabs>
                <w:tab w:val="left" w:pos="157"/>
              </w:tabs>
              <w:spacing w:before="0"/>
              <w:jc w:val="left"/>
              <w:rPr>
                <w:sz w:val="24"/>
                <w:szCs w:val="24"/>
              </w:rPr>
            </w:pPr>
          </w:p>
          <w:p w:rsidRPr="00A70107" w:rsidR="00C617A6" w:rsidP="005A1E28" w:rsidRDefault="00C617A6" w14:paraId="6E72B753" w14:textId="05CA6C0B">
            <w:pPr>
              <w:pStyle w:val="TableParagraph"/>
              <w:tabs>
                <w:tab w:val="left" w:pos="157"/>
              </w:tabs>
              <w:spacing w:before="0"/>
              <w:jc w:val="left"/>
              <w:rPr>
                <w:sz w:val="24"/>
                <w:szCs w:val="24"/>
              </w:rPr>
            </w:pPr>
          </w:p>
        </w:tc>
      </w:tr>
      <w:tr w:rsidRPr="00A70107" w:rsidR="006E529B" w:rsidTr="0042235B" w14:paraId="5474E50F" w14:textId="77777777">
        <w:trPr>
          <w:trHeight w:val="260"/>
        </w:trPr>
        <w:tc>
          <w:tcPr>
            <w:tcW w:w="547" w:type="dxa"/>
          </w:tcPr>
          <w:p w:rsidR="002C7CC8" w:rsidP="00A25435" w:rsidRDefault="002C7CC8" w14:paraId="48148EF8" w14:textId="77777777">
            <w:pPr>
              <w:pStyle w:val="TableParagraph"/>
              <w:spacing w:before="0"/>
              <w:jc w:val="left"/>
              <w:rPr>
                <w:b/>
                <w:bCs/>
                <w:sz w:val="24"/>
                <w:szCs w:val="24"/>
              </w:rPr>
            </w:pPr>
            <w:r w:rsidRPr="002C7CC8">
              <w:rPr>
                <w:b/>
                <w:bCs/>
                <w:sz w:val="24"/>
                <w:szCs w:val="24"/>
              </w:rPr>
              <w:lastRenderedPageBreak/>
              <w:t>3.0</w:t>
            </w:r>
            <w:r w:rsidRPr="002C7CC8" w:rsidR="00F1773F">
              <w:rPr>
                <w:b/>
                <w:bCs/>
                <w:sz w:val="24"/>
                <w:szCs w:val="24"/>
              </w:rPr>
              <w:t xml:space="preserve"> </w:t>
            </w:r>
          </w:p>
          <w:p w:rsidR="002C7CC8" w:rsidP="00A25435" w:rsidRDefault="002C7CC8" w14:paraId="22D23473" w14:textId="77777777">
            <w:pPr>
              <w:pStyle w:val="TableParagraph"/>
              <w:spacing w:before="0"/>
              <w:jc w:val="left"/>
              <w:rPr>
                <w:b/>
                <w:bCs/>
                <w:sz w:val="24"/>
                <w:szCs w:val="24"/>
              </w:rPr>
            </w:pPr>
          </w:p>
          <w:p w:rsidRPr="00577C1D" w:rsidR="006E529B" w:rsidP="00A25435" w:rsidRDefault="002C7CC8" w14:paraId="2ADA429B" w14:textId="70D21455">
            <w:pPr>
              <w:pStyle w:val="TableParagraph"/>
              <w:spacing w:before="0"/>
              <w:jc w:val="left"/>
              <w:rPr>
                <w:sz w:val="24"/>
                <w:szCs w:val="24"/>
              </w:rPr>
            </w:pPr>
            <w:r w:rsidRPr="00577C1D">
              <w:rPr>
                <w:sz w:val="24"/>
                <w:szCs w:val="24"/>
              </w:rPr>
              <w:t>3.1</w:t>
            </w:r>
            <w:r w:rsidRPr="00577C1D" w:rsidR="00F1773F">
              <w:rPr>
                <w:sz w:val="24"/>
                <w:szCs w:val="24"/>
              </w:rPr>
              <w:t xml:space="preserve"> </w:t>
            </w:r>
          </w:p>
        </w:tc>
        <w:tc>
          <w:tcPr>
            <w:tcW w:w="9878" w:type="dxa"/>
          </w:tcPr>
          <w:p w:rsidRPr="002C7CC8" w:rsidR="002C7CC8" w:rsidP="007248F2" w:rsidRDefault="002C7CC8" w14:paraId="07CD97DB" w14:textId="76488418">
            <w:pPr>
              <w:pStyle w:val="TableParagraph"/>
              <w:tabs>
                <w:tab w:val="left" w:pos="157"/>
              </w:tabs>
              <w:spacing w:before="0"/>
              <w:jc w:val="left"/>
              <w:rPr>
                <w:b/>
                <w:bCs/>
                <w:sz w:val="24"/>
                <w:szCs w:val="24"/>
              </w:rPr>
            </w:pPr>
            <w:r w:rsidRPr="002C7CC8">
              <w:rPr>
                <w:b/>
                <w:bCs/>
                <w:sz w:val="24"/>
                <w:szCs w:val="24"/>
              </w:rPr>
              <w:t xml:space="preserve">Peterborough Academy Balances </w:t>
            </w:r>
          </w:p>
          <w:p w:rsidR="002C7CC8" w:rsidP="007248F2" w:rsidRDefault="002C7CC8" w14:paraId="4F727CF9" w14:textId="77777777">
            <w:pPr>
              <w:pStyle w:val="TableParagraph"/>
              <w:tabs>
                <w:tab w:val="left" w:pos="157"/>
              </w:tabs>
              <w:spacing w:before="0"/>
              <w:jc w:val="left"/>
              <w:rPr>
                <w:sz w:val="24"/>
                <w:szCs w:val="24"/>
              </w:rPr>
            </w:pPr>
          </w:p>
          <w:p w:rsidR="007248F2" w:rsidP="007248F2" w:rsidRDefault="007248F2" w14:paraId="5CA4826C" w14:textId="1DD7C817">
            <w:pPr>
              <w:pStyle w:val="TableParagraph"/>
              <w:tabs>
                <w:tab w:val="left" w:pos="157"/>
              </w:tabs>
              <w:spacing w:before="0"/>
              <w:jc w:val="left"/>
              <w:rPr>
                <w:sz w:val="24"/>
                <w:szCs w:val="24"/>
              </w:rPr>
            </w:pPr>
            <w:r>
              <w:rPr>
                <w:sz w:val="24"/>
                <w:szCs w:val="24"/>
              </w:rPr>
              <w:t xml:space="preserve">The table below details the 2020-21 academic year revenue balances by phase for Peterborough’s Academy schools and makes comparisons to the 2019-20 academic year. </w:t>
            </w:r>
          </w:p>
          <w:p w:rsidR="00C617A6" w:rsidP="007248F2" w:rsidRDefault="00C617A6" w14:paraId="7A23D193" w14:textId="792552E5">
            <w:pPr>
              <w:pStyle w:val="TableParagraph"/>
              <w:tabs>
                <w:tab w:val="left" w:pos="157"/>
              </w:tabs>
              <w:spacing w:before="0"/>
              <w:jc w:val="left"/>
              <w:rPr>
                <w:sz w:val="24"/>
                <w:szCs w:val="24"/>
              </w:rPr>
            </w:pPr>
          </w:p>
          <w:tbl>
            <w:tblPr>
              <w:tblW w:w="7525" w:type="dxa"/>
              <w:tblLayout w:type="fixed"/>
              <w:tblLook w:val="04A0" w:firstRow="1" w:lastRow="0" w:firstColumn="1" w:lastColumn="0" w:noHBand="0" w:noVBand="1"/>
            </w:tblPr>
            <w:tblGrid>
              <w:gridCol w:w="1288"/>
              <w:gridCol w:w="1275"/>
              <w:gridCol w:w="1276"/>
              <w:gridCol w:w="1276"/>
              <w:gridCol w:w="1276"/>
              <w:gridCol w:w="1134"/>
            </w:tblGrid>
            <w:tr w:rsidRPr="00C617A6" w:rsidR="00C617A6" w:rsidTr="00C617A6" w14:paraId="73E4E31A" w14:textId="77777777">
              <w:trPr>
                <w:trHeight w:val="1130"/>
              </w:trPr>
              <w:tc>
                <w:tcPr>
                  <w:tcW w:w="1288"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617A6" w:rsidR="00C617A6" w:rsidP="00C617A6" w:rsidRDefault="00C617A6" w14:paraId="48663092" w14:textId="77777777">
                  <w:pPr>
                    <w:widowControl/>
                    <w:autoSpaceDE/>
                    <w:autoSpaceDN/>
                    <w:jc w:val="center"/>
                    <w:rPr>
                      <w:rFonts w:ascii="Calibri" w:hAnsi="Calibri" w:eastAsia="Times New Roman" w:cs="Calibri"/>
                      <w:b/>
                      <w:bCs/>
                      <w:color w:val="000000"/>
                      <w:lang w:val="en-GB" w:eastAsia="en-GB"/>
                    </w:rPr>
                  </w:pPr>
                  <w:r w:rsidRPr="00C617A6">
                    <w:rPr>
                      <w:rFonts w:ascii="Calibri" w:hAnsi="Calibri" w:eastAsia="Times New Roman" w:cs="Calibri"/>
                      <w:b/>
                      <w:bCs/>
                      <w:color w:val="000000"/>
                      <w:lang w:val="en-GB" w:eastAsia="en-GB"/>
                    </w:rPr>
                    <w:t>Phase</w:t>
                  </w:r>
                </w:p>
              </w:tc>
              <w:tc>
                <w:tcPr>
                  <w:tcW w:w="1275" w:type="dxa"/>
                  <w:tcBorders>
                    <w:top w:val="single" w:color="auto" w:sz="4" w:space="0"/>
                    <w:left w:val="nil"/>
                    <w:bottom w:val="single" w:color="auto" w:sz="4" w:space="0"/>
                    <w:right w:val="single" w:color="auto" w:sz="4" w:space="0"/>
                  </w:tcBorders>
                  <w:shd w:val="clear" w:color="000000" w:fill="D9D9D9"/>
                  <w:vAlign w:val="bottom"/>
                  <w:hideMark/>
                </w:tcPr>
                <w:p w:rsidRPr="00C617A6" w:rsidR="00C617A6" w:rsidP="00C617A6" w:rsidRDefault="00C617A6" w14:paraId="1362293C" w14:textId="77777777">
                  <w:pPr>
                    <w:widowControl/>
                    <w:autoSpaceDE/>
                    <w:autoSpaceDN/>
                    <w:jc w:val="center"/>
                    <w:rPr>
                      <w:rFonts w:ascii="Calibri" w:hAnsi="Calibri" w:eastAsia="Times New Roman" w:cs="Calibri"/>
                      <w:b/>
                      <w:bCs/>
                      <w:color w:val="000000"/>
                      <w:lang w:val="en-GB" w:eastAsia="en-GB"/>
                    </w:rPr>
                  </w:pPr>
                  <w:r w:rsidRPr="00C617A6">
                    <w:rPr>
                      <w:rFonts w:ascii="Calibri" w:hAnsi="Calibri" w:eastAsia="Times New Roman" w:cs="Calibri"/>
                      <w:b/>
                      <w:bCs/>
                      <w:color w:val="000000"/>
                      <w:lang w:val="en-GB" w:eastAsia="en-GB"/>
                    </w:rPr>
                    <w:t>No of Academy Schools</w:t>
                  </w:r>
                </w:p>
              </w:tc>
              <w:tc>
                <w:tcPr>
                  <w:tcW w:w="1276" w:type="dxa"/>
                  <w:tcBorders>
                    <w:top w:val="single" w:color="auto" w:sz="4" w:space="0"/>
                    <w:left w:val="nil"/>
                    <w:bottom w:val="single" w:color="auto" w:sz="4" w:space="0"/>
                    <w:right w:val="single" w:color="auto" w:sz="4" w:space="0"/>
                  </w:tcBorders>
                  <w:shd w:val="clear" w:color="000000" w:fill="D9D9D9"/>
                  <w:vAlign w:val="bottom"/>
                  <w:hideMark/>
                </w:tcPr>
                <w:p w:rsidR="00C617A6" w:rsidP="00C617A6" w:rsidRDefault="00C617A6" w14:paraId="0A5BDFD4" w14:textId="77777777">
                  <w:pPr>
                    <w:widowControl/>
                    <w:autoSpaceDE/>
                    <w:autoSpaceDN/>
                    <w:jc w:val="center"/>
                    <w:rPr>
                      <w:rFonts w:ascii="Calibri" w:hAnsi="Calibri" w:eastAsia="Times New Roman" w:cs="Calibri"/>
                      <w:b/>
                      <w:bCs/>
                      <w:color w:val="000000"/>
                      <w:lang w:val="en-GB" w:eastAsia="en-GB"/>
                    </w:rPr>
                  </w:pPr>
                  <w:r w:rsidRPr="00C617A6">
                    <w:rPr>
                      <w:rFonts w:ascii="Calibri" w:hAnsi="Calibri" w:eastAsia="Times New Roman" w:cs="Calibri"/>
                      <w:b/>
                      <w:bCs/>
                      <w:color w:val="000000"/>
                      <w:lang w:val="en-GB" w:eastAsia="en-GB"/>
                    </w:rPr>
                    <w:t xml:space="preserve">Balances </w:t>
                  </w:r>
                </w:p>
                <w:p w:rsidRPr="00C617A6" w:rsidR="00C617A6" w:rsidP="00C617A6" w:rsidRDefault="00C617A6" w14:paraId="37D48E42" w14:textId="5A01AA93">
                  <w:pPr>
                    <w:widowControl/>
                    <w:autoSpaceDE/>
                    <w:autoSpaceDN/>
                    <w:jc w:val="center"/>
                    <w:rPr>
                      <w:rFonts w:ascii="Calibri" w:hAnsi="Calibri" w:eastAsia="Times New Roman" w:cs="Calibri"/>
                      <w:b/>
                      <w:bCs/>
                      <w:color w:val="000000"/>
                      <w:lang w:val="en-GB" w:eastAsia="en-GB"/>
                    </w:rPr>
                  </w:pPr>
                  <w:r w:rsidRPr="00C617A6">
                    <w:rPr>
                      <w:rFonts w:ascii="Calibri" w:hAnsi="Calibri" w:eastAsia="Times New Roman" w:cs="Calibri"/>
                      <w:b/>
                      <w:bCs/>
                      <w:color w:val="000000"/>
                      <w:lang w:val="en-GB" w:eastAsia="en-GB"/>
                    </w:rPr>
                    <w:t xml:space="preserve"> 31st August 2020     </w:t>
                  </w:r>
                  <w:r>
                    <w:rPr>
                      <w:rFonts w:ascii="Calibri" w:hAnsi="Calibri" w:eastAsia="Times New Roman" w:cs="Calibri"/>
                      <w:b/>
                      <w:bCs/>
                      <w:color w:val="000000"/>
                      <w:lang w:val="en-GB" w:eastAsia="en-GB"/>
                    </w:rPr>
                    <w:t xml:space="preserve">     </w:t>
                  </w:r>
                  <w:r w:rsidRPr="00C617A6">
                    <w:rPr>
                      <w:rFonts w:ascii="Calibri" w:hAnsi="Calibri" w:eastAsia="Times New Roman" w:cs="Calibri"/>
                      <w:b/>
                      <w:bCs/>
                      <w:color w:val="000000"/>
                      <w:lang w:val="en-GB" w:eastAsia="en-GB"/>
                    </w:rPr>
                    <w:t xml:space="preserve">    £</w:t>
                  </w:r>
                </w:p>
              </w:tc>
              <w:tc>
                <w:tcPr>
                  <w:tcW w:w="1276" w:type="dxa"/>
                  <w:tcBorders>
                    <w:top w:val="single" w:color="auto" w:sz="4" w:space="0"/>
                    <w:left w:val="nil"/>
                    <w:bottom w:val="single" w:color="auto" w:sz="4" w:space="0"/>
                    <w:right w:val="single" w:color="auto" w:sz="4" w:space="0"/>
                  </w:tcBorders>
                  <w:shd w:val="clear" w:color="000000" w:fill="D9D9D9"/>
                  <w:vAlign w:val="bottom"/>
                  <w:hideMark/>
                </w:tcPr>
                <w:p w:rsidR="00C617A6" w:rsidP="00C617A6" w:rsidRDefault="00C617A6" w14:paraId="2C6D6F2A" w14:textId="77777777">
                  <w:pPr>
                    <w:widowControl/>
                    <w:autoSpaceDE/>
                    <w:autoSpaceDN/>
                    <w:jc w:val="center"/>
                    <w:rPr>
                      <w:rFonts w:ascii="Calibri" w:hAnsi="Calibri" w:eastAsia="Times New Roman" w:cs="Calibri"/>
                      <w:b/>
                      <w:bCs/>
                      <w:color w:val="000000"/>
                      <w:lang w:val="en-GB" w:eastAsia="en-GB"/>
                    </w:rPr>
                  </w:pPr>
                  <w:r w:rsidRPr="00C617A6">
                    <w:rPr>
                      <w:rFonts w:ascii="Calibri" w:hAnsi="Calibri" w:eastAsia="Times New Roman" w:cs="Calibri"/>
                      <w:b/>
                      <w:bCs/>
                      <w:color w:val="000000"/>
                      <w:lang w:val="en-GB" w:eastAsia="en-GB"/>
                    </w:rPr>
                    <w:t xml:space="preserve">Balances </w:t>
                  </w:r>
                </w:p>
                <w:p w:rsidRPr="00C617A6" w:rsidR="00C617A6" w:rsidP="00C617A6" w:rsidRDefault="00C617A6" w14:paraId="70623AF0" w14:textId="43B8E767">
                  <w:pPr>
                    <w:widowControl/>
                    <w:autoSpaceDE/>
                    <w:autoSpaceDN/>
                    <w:jc w:val="center"/>
                    <w:rPr>
                      <w:rFonts w:ascii="Calibri" w:hAnsi="Calibri" w:eastAsia="Times New Roman" w:cs="Calibri"/>
                      <w:b/>
                      <w:bCs/>
                      <w:color w:val="000000"/>
                      <w:lang w:val="en-GB" w:eastAsia="en-GB"/>
                    </w:rPr>
                  </w:pPr>
                  <w:r w:rsidRPr="00C617A6">
                    <w:rPr>
                      <w:rFonts w:ascii="Calibri" w:hAnsi="Calibri" w:eastAsia="Times New Roman" w:cs="Calibri"/>
                      <w:b/>
                      <w:bCs/>
                      <w:color w:val="000000"/>
                      <w:lang w:val="en-GB" w:eastAsia="en-GB"/>
                    </w:rPr>
                    <w:t xml:space="preserve">31st August 2021       </w:t>
                  </w:r>
                  <w:r>
                    <w:rPr>
                      <w:rFonts w:ascii="Calibri" w:hAnsi="Calibri" w:eastAsia="Times New Roman" w:cs="Calibri"/>
                      <w:b/>
                      <w:bCs/>
                      <w:color w:val="000000"/>
                      <w:lang w:val="en-GB" w:eastAsia="en-GB"/>
                    </w:rPr>
                    <w:t xml:space="preserve">   </w:t>
                  </w:r>
                  <w:r w:rsidRPr="00C617A6">
                    <w:rPr>
                      <w:rFonts w:ascii="Calibri" w:hAnsi="Calibri" w:eastAsia="Times New Roman" w:cs="Calibri"/>
                      <w:b/>
                      <w:bCs/>
                      <w:color w:val="000000"/>
                      <w:lang w:val="en-GB" w:eastAsia="en-GB"/>
                    </w:rPr>
                    <w:t xml:space="preserve">   £</w:t>
                  </w:r>
                </w:p>
              </w:tc>
              <w:tc>
                <w:tcPr>
                  <w:tcW w:w="1276" w:type="dxa"/>
                  <w:tcBorders>
                    <w:top w:val="single" w:color="auto" w:sz="4" w:space="0"/>
                    <w:left w:val="nil"/>
                    <w:bottom w:val="single" w:color="auto" w:sz="4" w:space="0"/>
                    <w:right w:val="single" w:color="auto" w:sz="4" w:space="0"/>
                  </w:tcBorders>
                  <w:shd w:val="clear" w:color="000000" w:fill="D9D9D9"/>
                  <w:vAlign w:val="bottom"/>
                  <w:hideMark/>
                </w:tcPr>
                <w:p w:rsidRPr="00C617A6" w:rsidR="00C617A6" w:rsidP="00C617A6" w:rsidRDefault="00C617A6" w14:paraId="037BF58A" w14:textId="77777777">
                  <w:pPr>
                    <w:widowControl/>
                    <w:autoSpaceDE/>
                    <w:autoSpaceDN/>
                    <w:jc w:val="center"/>
                    <w:rPr>
                      <w:rFonts w:ascii="Calibri" w:hAnsi="Calibri" w:eastAsia="Times New Roman" w:cs="Calibri"/>
                      <w:b/>
                      <w:bCs/>
                      <w:color w:val="000000"/>
                      <w:lang w:val="en-GB" w:eastAsia="en-GB"/>
                    </w:rPr>
                  </w:pPr>
                  <w:r w:rsidRPr="00C617A6">
                    <w:rPr>
                      <w:rFonts w:ascii="Calibri" w:hAnsi="Calibri" w:eastAsia="Times New Roman" w:cs="Calibri"/>
                      <w:b/>
                      <w:bCs/>
                      <w:color w:val="000000"/>
                      <w:lang w:val="en-GB" w:eastAsia="en-GB"/>
                    </w:rPr>
                    <w:t>Change</w:t>
                  </w:r>
                </w:p>
              </w:tc>
              <w:tc>
                <w:tcPr>
                  <w:tcW w:w="1134" w:type="dxa"/>
                  <w:tcBorders>
                    <w:top w:val="single" w:color="auto" w:sz="4" w:space="0"/>
                    <w:left w:val="nil"/>
                    <w:bottom w:val="single" w:color="auto" w:sz="4" w:space="0"/>
                    <w:right w:val="single" w:color="auto" w:sz="4" w:space="0"/>
                  </w:tcBorders>
                  <w:shd w:val="clear" w:color="000000" w:fill="D9D9D9"/>
                  <w:vAlign w:val="bottom"/>
                  <w:hideMark/>
                </w:tcPr>
                <w:p w:rsidRPr="00C617A6" w:rsidR="00C617A6" w:rsidP="00C617A6" w:rsidRDefault="00C617A6" w14:paraId="4587556C" w14:textId="77777777">
                  <w:pPr>
                    <w:widowControl/>
                    <w:autoSpaceDE/>
                    <w:autoSpaceDN/>
                    <w:jc w:val="center"/>
                    <w:rPr>
                      <w:rFonts w:ascii="Calibri" w:hAnsi="Calibri" w:eastAsia="Times New Roman" w:cs="Calibri"/>
                      <w:b/>
                      <w:bCs/>
                      <w:color w:val="000000"/>
                      <w:lang w:val="en-GB" w:eastAsia="en-GB"/>
                    </w:rPr>
                  </w:pPr>
                  <w:r w:rsidRPr="00C617A6">
                    <w:rPr>
                      <w:rFonts w:ascii="Calibri" w:hAnsi="Calibri" w:eastAsia="Times New Roman" w:cs="Calibri"/>
                      <w:b/>
                      <w:bCs/>
                      <w:color w:val="000000"/>
                      <w:lang w:val="en-GB" w:eastAsia="en-GB"/>
                    </w:rPr>
                    <w:t xml:space="preserve">% </w:t>
                  </w:r>
                  <w:proofErr w:type="gramStart"/>
                  <w:r w:rsidRPr="00C617A6">
                    <w:rPr>
                      <w:rFonts w:ascii="Calibri" w:hAnsi="Calibri" w:eastAsia="Times New Roman" w:cs="Calibri"/>
                      <w:b/>
                      <w:bCs/>
                      <w:color w:val="000000"/>
                      <w:lang w:val="en-GB" w:eastAsia="en-GB"/>
                    </w:rPr>
                    <w:t>change</w:t>
                  </w:r>
                  <w:proofErr w:type="gramEnd"/>
                </w:p>
              </w:tc>
            </w:tr>
            <w:tr w:rsidRPr="00C617A6" w:rsidR="00C617A6" w:rsidTr="00C617A6" w14:paraId="251EE73C" w14:textId="77777777">
              <w:trPr>
                <w:trHeight w:val="382"/>
              </w:trPr>
              <w:tc>
                <w:tcPr>
                  <w:tcW w:w="1288" w:type="dxa"/>
                  <w:tcBorders>
                    <w:top w:val="nil"/>
                    <w:left w:val="single" w:color="auto" w:sz="4" w:space="0"/>
                    <w:bottom w:val="single" w:color="auto" w:sz="4" w:space="0"/>
                    <w:right w:val="single" w:color="auto" w:sz="4" w:space="0"/>
                  </w:tcBorders>
                  <w:shd w:val="clear" w:color="auto" w:fill="auto"/>
                  <w:noWrap/>
                  <w:vAlign w:val="bottom"/>
                  <w:hideMark/>
                </w:tcPr>
                <w:p w:rsidRPr="00C617A6" w:rsidR="00C617A6" w:rsidP="00C617A6" w:rsidRDefault="00C617A6" w14:paraId="21FF1B1D" w14:textId="77777777">
                  <w:pPr>
                    <w:widowControl/>
                    <w:autoSpaceDE/>
                    <w:autoSpaceDN/>
                    <w:rPr>
                      <w:rFonts w:ascii="Calibri" w:hAnsi="Calibri" w:eastAsia="Times New Roman" w:cs="Calibri"/>
                      <w:color w:val="000000"/>
                      <w:lang w:val="en-GB" w:eastAsia="en-GB"/>
                    </w:rPr>
                  </w:pPr>
                  <w:r w:rsidRPr="00C617A6">
                    <w:rPr>
                      <w:rFonts w:ascii="Calibri" w:hAnsi="Calibri" w:eastAsia="Times New Roman" w:cs="Calibri"/>
                      <w:color w:val="000000"/>
                      <w:lang w:val="en-GB" w:eastAsia="en-GB"/>
                    </w:rPr>
                    <w:t>Primary</w:t>
                  </w:r>
                </w:p>
              </w:tc>
              <w:tc>
                <w:tcPr>
                  <w:tcW w:w="1275" w:type="dxa"/>
                  <w:tcBorders>
                    <w:top w:val="nil"/>
                    <w:left w:val="nil"/>
                    <w:bottom w:val="single" w:color="auto" w:sz="4" w:space="0"/>
                    <w:right w:val="single" w:color="auto" w:sz="4" w:space="0"/>
                  </w:tcBorders>
                  <w:shd w:val="clear" w:color="auto" w:fill="auto"/>
                  <w:noWrap/>
                  <w:vAlign w:val="bottom"/>
                  <w:hideMark/>
                </w:tcPr>
                <w:p w:rsidRPr="00C617A6" w:rsidR="00C617A6" w:rsidP="00C617A6" w:rsidRDefault="00C617A6" w14:paraId="52BFED11" w14:textId="77777777">
                  <w:pPr>
                    <w:widowControl/>
                    <w:autoSpaceDE/>
                    <w:autoSpaceDN/>
                    <w:jc w:val="right"/>
                    <w:rPr>
                      <w:rFonts w:ascii="Calibri" w:hAnsi="Calibri" w:eastAsia="Times New Roman" w:cs="Calibri"/>
                      <w:color w:val="000000"/>
                      <w:lang w:val="en-GB" w:eastAsia="en-GB"/>
                    </w:rPr>
                  </w:pPr>
                  <w:r w:rsidRPr="00C617A6">
                    <w:rPr>
                      <w:rFonts w:ascii="Calibri" w:hAnsi="Calibri" w:eastAsia="Times New Roman" w:cs="Calibri"/>
                      <w:color w:val="000000"/>
                      <w:lang w:val="en-GB" w:eastAsia="en-GB"/>
                    </w:rPr>
                    <w:t>36</w:t>
                  </w:r>
                </w:p>
              </w:tc>
              <w:tc>
                <w:tcPr>
                  <w:tcW w:w="1276" w:type="dxa"/>
                  <w:tcBorders>
                    <w:top w:val="nil"/>
                    <w:left w:val="nil"/>
                    <w:bottom w:val="single" w:color="auto" w:sz="4" w:space="0"/>
                    <w:right w:val="single" w:color="auto" w:sz="4" w:space="0"/>
                  </w:tcBorders>
                  <w:shd w:val="clear" w:color="auto" w:fill="auto"/>
                  <w:noWrap/>
                  <w:vAlign w:val="bottom"/>
                  <w:hideMark/>
                </w:tcPr>
                <w:p w:rsidRPr="00C617A6" w:rsidR="00C617A6" w:rsidP="00C617A6" w:rsidRDefault="00C617A6" w14:paraId="27F69499" w14:textId="77777777">
                  <w:pPr>
                    <w:widowControl/>
                    <w:autoSpaceDE/>
                    <w:autoSpaceDN/>
                    <w:jc w:val="right"/>
                    <w:rPr>
                      <w:rFonts w:ascii="Calibri" w:hAnsi="Calibri" w:eastAsia="Times New Roman" w:cs="Calibri"/>
                      <w:color w:val="000000"/>
                      <w:lang w:val="en-GB" w:eastAsia="en-GB"/>
                    </w:rPr>
                  </w:pPr>
                  <w:r w:rsidRPr="00C617A6">
                    <w:rPr>
                      <w:rFonts w:ascii="Calibri" w:hAnsi="Calibri" w:eastAsia="Times New Roman" w:cs="Calibri"/>
                      <w:color w:val="000000"/>
                      <w:lang w:val="en-GB" w:eastAsia="en-GB"/>
                    </w:rPr>
                    <w:t>9,677,248</w:t>
                  </w:r>
                </w:p>
              </w:tc>
              <w:tc>
                <w:tcPr>
                  <w:tcW w:w="1276" w:type="dxa"/>
                  <w:tcBorders>
                    <w:top w:val="nil"/>
                    <w:left w:val="nil"/>
                    <w:bottom w:val="single" w:color="auto" w:sz="4" w:space="0"/>
                    <w:right w:val="single" w:color="auto" w:sz="4" w:space="0"/>
                  </w:tcBorders>
                  <w:shd w:val="clear" w:color="auto" w:fill="auto"/>
                  <w:noWrap/>
                  <w:vAlign w:val="bottom"/>
                  <w:hideMark/>
                </w:tcPr>
                <w:p w:rsidRPr="00C617A6" w:rsidR="00C617A6" w:rsidP="00C617A6" w:rsidRDefault="00C617A6" w14:paraId="39AF68E1" w14:textId="77777777">
                  <w:pPr>
                    <w:widowControl/>
                    <w:autoSpaceDE/>
                    <w:autoSpaceDN/>
                    <w:jc w:val="right"/>
                    <w:rPr>
                      <w:rFonts w:ascii="Calibri" w:hAnsi="Calibri" w:eastAsia="Times New Roman" w:cs="Calibri"/>
                      <w:color w:val="000000"/>
                      <w:lang w:val="en-GB" w:eastAsia="en-GB"/>
                    </w:rPr>
                  </w:pPr>
                  <w:r w:rsidRPr="00C617A6">
                    <w:rPr>
                      <w:rFonts w:ascii="Calibri" w:hAnsi="Calibri" w:eastAsia="Times New Roman" w:cs="Calibri"/>
                      <w:color w:val="000000"/>
                      <w:lang w:val="en-GB" w:eastAsia="en-GB"/>
                    </w:rPr>
                    <w:t>7,429,470</w:t>
                  </w:r>
                </w:p>
              </w:tc>
              <w:tc>
                <w:tcPr>
                  <w:tcW w:w="1276" w:type="dxa"/>
                  <w:tcBorders>
                    <w:top w:val="nil"/>
                    <w:left w:val="nil"/>
                    <w:bottom w:val="single" w:color="auto" w:sz="4" w:space="0"/>
                    <w:right w:val="single" w:color="auto" w:sz="4" w:space="0"/>
                  </w:tcBorders>
                  <w:shd w:val="clear" w:color="auto" w:fill="auto"/>
                  <w:noWrap/>
                  <w:vAlign w:val="bottom"/>
                  <w:hideMark/>
                </w:tcPr>
                <w:p w:rsidRPr="00C617A6" w:rsidR="00C617A6" w:rsidP="00C617A6" w:rsidRDefault="00C617A6" w14:paraId="19575B87" w14:textId="77777777">
                  <w:pPr>
                    <w:widowControl/>
                    <w:autoSpaceDE/>
                    <w:autoSpaceDN/>
                    <w:jc w:val="right"/>
                    <w:rPr>
                      <w:rFonts w:ascii="Calibri" w:hAnsi="Calibri" w:eastAsia="Times New Roman" w:cs="Calibri"/>
                      <w:color w:val="000000"/>
                      <w:lang w:val="en-GB" w:eastAsia="en-GB"/>
                    </w:rPr>
                  </w:pPr>
                  <w:r w:rsidRPr="00C617A6">
                    <w:rPr>
                      <w:rFonts w:ascii="Calibri" w:hAnsi="Calibri" w:eastAsia="Times New Roman" w:cs="Calibri"/>
                      <w:color w:val="FF0000"/>
                      <w:lang w:val="en-GB" w:eastAsia="en-GB"/>
                    </w:rPr>
                    <w:t xml:space="preserve">-2,247,778 </w:t>
                  </w:r>
                </w:p>
              </w:tc>
              <w:tc>
                <w:tcPr>
                  <w:tcW w:w="1134" w:type="dxa"/>
                  <w:tcBorders>
                    <w:top w:val="nil"/>
                    <w:left w:val="nil"/>
                    <w:bottom w:val="single" w:color="auto" w:sz="4" w:space="0"/>
                    <w:right w:val="single" w:color="auto" w:sz="4" w:space="0"/>
                  </w:tcBorders>
                  <w:shd w:val="clear" w:color="auto" w:fill="auto"/>
                  <w:noWrap/>
                  <w:vAlign w:val="bottom"/>
                  <w:hideMark/>
                </w:tcPr>
                <w:p w:rsidRPr="00C617A6" w:rsidR="00C617A6" w:rsidP="00C617A6" w:rsidRDefault="00C617A6" w14:paraId="475F1113" w14:textId="77777777">
                  <w:pPr>
                    <w:widowControl/>
                    <w:autoSpaceDE/>
                    <w:autoSpaceDN/>
                    <w:jc w:val="right"/>
                    <w:rPr>
                      <w:rFonts w:ascii="Calibri" w:hAnsi="Calibri" w:eastAsia="Times New Roman" w:cs="Calibri"/>
                      <w:color w:val="FF0000"/>
                      <w:lang w:val="en-GB" w:eastAsia="en-GB"/>
                    </w:rPr>
                  </w:pPr>
                  <w:r w:rsidRPr="00C617A6">
                    <w:rPr>
                      <w:rFonts w:ascii="Calibri" w:hAnsi="Calibri" w:eastAsia="Times New Roman" w:cs="Calibri"/>
                      <w:color w:val="FF0000"/>
                      <w:lang w:val="en-GB" w:eastAsia="en-GB"/>
                    </w:rPr>
                    <w:t>-23.23%</w:t>
                  </w:r>
                </w:p>
              </w:tc>
            </w:tr>
            <w:tr w:rsidRPr="00C617A6" w:rsidR="00C617A6" w:rsidTr="00C617A6" w14:paraId="0BA3B64F" w14:textId="77777777">
              <w:trPr>
                <w:trHeight w:val="300"/>
              </w:trPr>
              <w:tc>
                <w:tcPr>
                  <w:tcW w:w="1288" w:type="dxa"/>
                  <w:tcBorders>
                    <w:top w:val="nil"/>
                    <w:left w:val="single" w:color="auto" w:sz="4" w:space="0"/>
                    <w:bottom w:val="single" w:color="auto" w:sz="4" w:space="0"/>
                    <w:right w:val="single" w:color="auto" w:sz="4" w:space="0"/>
                  </w:tcBorders>
                  <w:shd w:val="clear" w:color="auto" w:fill="auto"/>
                  <w:noWrap/>
                  <w:vAlign w:val="bottom"/>
                  <w:hideMark/>
                </w:tcPr>
                <w:p w:rsidRPr="00C617A6" w:rsidR="00C617A6" w:rsidP="00C617A6" w:rsidRDefault="00C617A6" w14:paraId="2D99C0C4" w14:textId="77777777">
                  <w:pPr>
                    <w:widowControl/>
                    <w:autoSpaceDE/>
                    <w:autoSpaceDN/>
                    <w:rPr>
                      <w:rFonts w:ascii="Calibri" w:hAnsi="Calibri" w:eastAsia="Times New Roman" w:cs="Calibri"/>
                      <w:color w:val="000000"/>
                      <w:lang w:val="en-GB" w:eastAsia="en-GB"/>
                    </w:rPr>
                  </w:pPr>
                  <w:r w:rsidRPr="00C617A6">
                    <w:rPr>
                      <w:rFonts w:ascii="Calibri" w:hAnsi="Calibri" w:eastAsia="Times New Roman" w:cs="Calibri"/>
                      <w:color w:val="000000"/>
                      <w:lang w:val="en-GB" w:eastAsia="en-GB"/>
                    </w:rPr>
                    <w:t>Secondary</w:t>
                  </w:r>
                </w:p>
              </w:tc>
              <w:tc>
                <w:tcPr>
                  <w:tcW w:w="1275" w:type="dxa"/>
                  <w:tcBorders>
                    <w:top w:val="nil"/>
                    <w:left w:val="nil"/>
                    <w:bottom w:val="single" w:color="auto" w:sz="4" w:space="0"/>
                    <w:right w:val="single" w:color="auto" w:sz="4" w:space="0"/>
                  </w:tcBorders>
                  <w:shd w:val="clear" w:color="auto" w:fill="auto"/>
                  <w:noWrap/>
                  <w:vAlign w:val="bottom"/>
                  <w:hideMark/>
                </w:tcPr>
                <w:p w:rsidRPr="00C617A6" w:rsidR="00C617A6" w:rsidP="00C617A6" w:rsidRDefault="00C617A6" w14:paraId="7E84DC1E" w14:textId="77777777">
                  <w:pPr>
                    <w:widowControl/>
                    <w:autoSpaceDE/>
                    <w:autoSpaceDN/>
                    <w:jc w:val="right"/>
                    <w:rPr>
                      <w:rFonts w:ascii="Calibri" w:hAnsi="Calibri" w:eastAsia="Times New Roman" w:cs="Calibri"/>
                      <w:color w:val="000000"/>
                      <w:lang w:val="en-GB" w:eastAsia="en-GB"/>
                    </w:rPr>
                  </w:pPr>
                  <w:r w:rsidRPr="00C617A6">
                    <w:rPr>
                      <w:rFonts w:ascii="Calibri" w:hAnsi="Calibri" w:eastAsia="Times New Roman" w:cs="Calibri"/>
                      <w:color w:val="000000"/>
                      <w:lang w:val="en-GB" w:eastAsia="en-GB"/>
                    </w:rPr>
                    <w:t>9</w:t>
                  </w:r>
                </w:p>
              </w:tc>
              <w:tc>
                <w:tcPr>
                  <w:tcW w:w="1276" w:type="dxa"/>
                  <w:tcBorders>
                    <w:top w:val="nil"/>
                    <w:left w:val="nil"/>
                    <w:bottom w:val="single" w:color="auto" w:sz="4" w:space="0"/>
                    <w:right w:val="single" w:color="auto" w:sz="4" w:space="0"/>
                  </w:tcBorders>
                  <w:shd w:val="clear" w:color="auto" w:fill="auto"/>
                  <w:noWrap/>
                  <w:vAlign w:val="bottom"/>
                  <w:hideMark/>
                </w:tcPr>
                <w:p w:rsidRPr="00C617A6" w:rsidR="00C617A6" w:rsidP="00C617A6" w:rsidRDefault="00C617A6" w14:paraId="49FD5E96" w14:textId="77777777">
                  <w:pPr>
                    <w:widowControl/>
                    <w:autoSpaceDE/>
                    <w:autoSpaceDN/>
                    <w:jc w:val="right"/>
                    <w:rPr>
                      <w:rFonts w:ascii="Calibri" w:hAnsi="Calibri" w:eastAsia="Times New Roman" w:cs="Calibri"/>
                      <w:color w:val="000000"/>
                      <w:lang w:val="en-GB" w:eastAsia="en-GB"/>
                    </w:rPr>
                  </w:pPr>
                  <w:r w:rsidRPr="00C617A6">
                    <w:rPr>
                      <w:rFonts w:ascii="Calibri" w:hAnsi="Calibri" w:eastAsia="Times New Roman" w:cs="Calibri"/>
                      <w:color w:val="000000"/>
                      <w:lang w:val="en-GB" w:eastAsia="en-GB"/>
                    </w:rPr>
                    <w:t>6,454,437</w:t>
                  </w:r>
                </w:p>
              </w:tc>
              <w:tc>
                <w:tcPr>
                  <w:tcW w:w="1276" w:type="dxa"/>
                  <w:tcBorders>
                    <w:top w:val="nil"/>
                    <w:left w:val="nil"/>
                    <w:bottom w:val="single" w:color="auto" w:sz="4" w:space="0"/>
                    <w:right w:val="single" w:color="auto" w:sz="4" w:space="0"/>
                  </w:tcBorders>
                  <w:shd w:val="clear" w:color="auto" w:fill="auto"/>
                  <w:noWrap/>
                  <w:vAlign w:val="bottom"/>
                  <w:hideMark/>
                </w:tcPr>
                <w:p w:rsidRPr="00C617A6" w:rsidR="00C617A6" w:rsidP="00C617A6" w:rsidRDefault="00C617A6" w14:paraId="18228BB8" w14:textId="77777777">
                  <w:pPr>
                    <w:widowControl/>
                    <w:autoSpaceDE/>
                    <w:autoSpaceDN/>
                    <w:jc w:val="right"/>
                    <w:rPr>
                      <w:rFonts w:ascii="Calibri" w:hAnsi="Calibri" w:eastAsia="Times New Roman" w:cs="Calibri"/>
                      <w:color w:val="000000"/>
                      <w:lang w:val="en-GB" w:eastAsia="en-GB"/>
                    </w:rPr>
                  </w:pPr>
                  <w:r w:rsidRPr="00C617A6">
                    <w:rPr>
                      <w:rFonts w:ascii="Calibri" w:hAnsi="Calibri" w:eastAsia="Times New Roman" w:cs="Calibri"/>
                      <w:color w:val="000000"/>
                      <w:lang w:val="en-GB" w:eastAsia="en-GB"/>
                    </w:rPr>
                    <w:t xml:space="preserve">5,203,805 </w:t>
                  </w:r>
                </w:p>
              </w:tc>
              <w:tc>
                <w:tcPr>
                  <w:tcW w:w="1276" w:type="dxa"/>
                  <w:tcBorders>
                    <w:top w:val="nil"/>
                    <w:left w:val="nil"/>
                    <w:bottom w:val="single" w:color="auto" w:sz="4" w:space="0"/>
                    <w:right w:val="single" w:color="auto" w:sz="4" w:space="0"/>
                  </w:tcBorders>
                  <w:shd w:val="clear" w:color="auto" w:fill="auto"/>
                  <w:noWrap/>
                  <w:vAlign w:val="bottom"/>
                  <w:hideMark/>
                </w:tcPr>
                <w:p w:rsidRPr="00C617A6" w:rsidR="00C617A6" w:rsidP="00C617A6" w:rsidRDefault="00C617A6" w14:paraId="0056C28D" w14:textId="77777777">
                  <w:pPr>
                    <w:widowControl/>
                    <w:autoSpaceDE/>
                    <w:autoSpaceDN/>
                    <w:jc w:val="right"/>
                    <w:rPr>
                      <w:rFonts w:ascii="Calibri" w:hAnsi="Calibri" w:eastAsia="Times New Roman" w:cs="Calibri"/>
                      <w:color w:val="000000"/>
                      <w:lang w:val="en-GB" w:eastAsia="en-GB"/>
                    </w:rPr>
                  </w:pPr>
                  <w:r w:rsidRPr="00C617A6">
                    <w:rPr>
                      <w:rFonts w:ascii="Calibri" w:hAnsi="Calibri" w:eastAsia="Times New Roman" w:cs="Calibri"/>
                      <w:color w:val="FF0000"/>
                      <w:lang w:val="en-GB" w:eastAsia="en-GB"/>
                    </w:rPr>
                    <w:t xml:space="preserve">-1,250,632 </w:t>
                  </w:r>
                </w:p>
              </w:tc>
              <w:tc>
                <w:tcPr>
                  <w:tcW w:w="1134" w:type="dxa"/>
                  <w:tcBorders>
                    <w:top w:val="nil"/>
                    <w:left w:val="nil"/>
                    <w:bottom w:val="single" w:color="auto" w:sz="4" w:space="0"/>
                    <w:right w:val="single" w:color="auto" w:sz="4" w:space="0"/>
                  </w:tcBorders>
                  <w:shd w:val="clear" w:color="auto" w:fill="auto"/>
                  <w:noWrap/>
                  <w:vAlign w:val="bottom"/>
                  <w:hideMark/>
                </w:tcPr>
                <w:p w:rsidRPr="00C617A6" w:rsidR="00C617A6" w:rsidP="00C617A6" w:rsidRDefault="00C617A6" w14:paraId="1B725140" w14:textId="77777777">
                  <w:pPr>
                    <w:widowControl/>
                    <w:autoSpaceDE/>
                    <w:autoSpaceDN/>
                    <w:jc w:val="right"/>
                    <w:rPr>
                      <w:rFonts w:ascii="Calibri" w:hAnsi="Calibri" w:eastAsia="Times New Roman" w:cs="Calibri"/>
                      <w:color w:val="FF0000"/>
                      <w:lang w:val="en-GB" w:eastAsia="en-GB"/>
                    </w:rPr>
                  </w:pPr>
                  <w:r w:rsidRPr="00C617A6">
                    <w:rPr>
                      <w:rFonts w:ascii="Calibri" w:hAnsi="Calibri" w:eastAsia="Times New Roman" w:cs="Calibri"/>
                      <w:color w:val="FF0000"/>
                      <w:lang w:val="en-GB" w:eastAsia="en-GB"/>
                    </w:rPr>
                    <w:t>-19.38%</w:t>
                  </w:r>
                </w:p>
              </w:tc>
            </w:tr>
            <w:tr w:rsidRPr="00C617A6" w:rsidR="00C617A6" w:rsidTr="00C617A6" w14:paraId="3876EDC8" w14:textId="77777777">
              <w:trPr>
                <w:trHeight w:val="300"/>
              </w:trPr>
              <w:tc>
                <w:tcPr>
                  <w:tcW w:w="1288" w:type="dxa"/>
                  <w:tcBorders>
                    <w:top w:val="nil"/>
                    <w:left w:val="single" w:color="auto" w:sz="4" w:space="0"/>
                    <w:bottom w:val="single" w:color="auto" w:sz="4" w:space="0"/>
                    <w:right w:val="single" w:color="auto" w:sz="4" w:space="0"/>
                  </w:tcBorders>
                  <w:shd w:val="clear" w:color="auto" w:fill="auto"/>
                  <w:noWrap/>
                  <w:vAlign w:val="bottom"/>
                  <w:hideMark/>
                </w:tcPr>
                <w:p w:rsidRPr="00C617A6" w:rsidR="00C617A6" w:rsidP="00C617A6" w:rsidRDefault="00C617A6" w14:paraId="22959D16" w14:textId="77777777">
                  <w:pPr>
                    <w:widowControl/>
                    <w:autoSpaceDE/>
                    <w:autoSpaceDN/>
                    <w:rPr>
                      <w:rFonts w:ascii="Calibri" w:hAnsi="Calibri" w:eastAsia="Times New Roman" w:cs="Calibri"/>
                      <w:color w:val="000000"/>
                      <w:lang w:val="en-GB" w:eastAsia="en-GB"/>
                    </w:rPr>
                  </w:pPr>
                  <w:r w:rsidRPr="00C617A6">
                    <w:rPr>
                      <w:rFonts w:ascii="Calibri" w:hAnsi="Calibri" w:eastAsia="Times New Roman" w:cs="Calibri"/>
                      <w:color w:val="000000"/>
                      <w:lang w:val="en-GB" w:eastAsia="en-GB"/>
                    </w:rPr>
                    <w:t xml:space="preserve">All-through </w:t>
                  </w:r>
                </w:p>
              </w:tc>
              <w:tc>
                <w:tcPr>
                  <w:tcW w:w="1275" w:type="dxa"/>
                  <w:tcBorders>
                    <w:top w:val="nil"/>
                    <w:left w:val="nil"/>
                    <w:bottom w:val="single" w:color="auto" w:sz="4" w:space="0"/>
                    <w:right w:val="single" w:color="auto" w:sz="4" w:space="0"/>
                  </w:tcBorders>
                  <w:shd w:val="clear" w:color="auto" w:fill="auto"/>
                  <w:noWrap/>
                  <w:vAlign w:val="bottom"/>
                  <w:hideMark/>
                </w:tcPr>
                <w:p w:rsidRPr="00C617A6" w:rsidR="00C617A6" w:rsidP="00C617A6" w:rsidRDefault="00C617A6" w14:paraId="60B82B28" w14:textId="77777777">
                  <w:pPr>
                    <w:widowControl/>
                    <w:autoSpaceDE/>
                    <w:autoSpaceDN/>
                    <w:jc w:val="right"/>
                    <w:rPr>
                      <w:rFonts w:ascii="Calibri" w:hAnsi="Calibri" w:eastAsia="Times New Roman" w:cs="Calibri"/>
                      <w:color w:val="000000"/>
                      <w:lang w:val="en-GB" w:eastAsia="en-GB"/>
                    </w:rPr>
                  </w:pPr>
                  <w:r w:rsidRPr="00C617A6">
                    <w:rPr>
                      <w:rFonts w:ascii="Calibri" w:hAnsi="Calibri" w:eastAsia="Times New Roman" w:cs="Calibri"/>
                      <w:color w:val="000000"/>
                      <w:lang w:val="en-GB" w:eastAsia="en-GB"/>
                    </w:rPr>
                    <w:t>3</w:t>
                  </w:r>
                </w:p>
              </w:tc>
              <w:tc>
                <w:tcPr>
                  <w:tcW w:w="1276" w:type="dxa"/>
                  <w:tcBorders>
                    <w:top w:val="nil"/>
                    <w:left w:val="nil"/>
                    <w:bottom w:val="single" w:color="auto" w:sz="4" w:space="0"/>
                    <w:right w:val="single" w:color="auto" w:sz="4" w:space="0"/>
                  </w:tcBorders>
                  <w:shd w:val="clear" w:color="auto" w:fill="auto"/>
                  <w:noWrap/>
                  <w:vAlign w:val="bottom"/>
                  <w:hideMark/>
                </w:tcPr>
                <w:p w:rsidRPr="00C617A6" w:rsidR="00C617A6" w:rsidP="00C617A6" w:rsidRDefault="00C617A6" w14:paraId="145C9964" w14:textId="77777777">
                  <w:pPr>
                    <w:widowControl/>
                    <w:autoSpaceDE/>
                    <w:autoSpaceDN/>
                    <w:jc w:val="right"/>
                    <w:rPr>
                      <w:rFonts w:ascii="Calibri" w:hAnsi="Calibri" w:eastAsia="Times New Roman" w:cs="Calibri"/>
                      <w:color w:val="000000"/>
                      <w:lang w:val="en-GB" w:eastAsia="en-GB"/>
                    </w:rPr>
                  </w:pPr>
                  <w:r w:rsidRPr="00C617A6">
                    <w:rPr>
                      <w:rFonts w:ascii="Calibri" w:hAnsi="Calibri" w:eastAsia="Times New Roman" w:cs="Calibri"/>
                      <w:color w:val="000000"/>
                      <w:lang w:val="en-GB" w:eastAsia="en-GB"/>
                    </w:rPr>
                    <w:t>4,768,724</w:t>
                  </w:r>
                </w:p>
              </w:tc>
              <w:tc>
                <w:tcPr>
                  <w:tcW w:w="1276" w:type="dxa"/>
                  <w:tcBorders>
                    <w:top w:val="nil"/>
                    <w:left w:val="nil"/>
                    <w:bottom w:val="single" w:color="auto" w:sz="4" w:space="0"/>
                    <w:right w:val="single" w:color="auto" w:sz="4" w:space="0"/>
                  </w:tcBorders>
                  <w:shd w:val="clear" w:color="auto" w:fill="auto"/>
                  <w:noWrap/>
                  <w:vAlign w:val="bottom"/>
                  <w:hideMark/>
                </w:tcPr>
                <w:p w:rsidRPr="00C617A6" w:rsidR="00C617A6" w:rsidP="00C617A6" w:rsidRDefault="00C617A6" w14:paraId="3F754E78" w14:textId="77777777">
                  <w:pPr>
                    <w:widowControl/>
                    <w:autoSpaceDE/>
                    <w:autoSpaceDN/>
                    <w:jc w:val="right"/>
                    <w:rPr>
                      <w:rFonts w:ascii="Calibri" w:hAnsi="Calibri" w:eastAsia="Times New Roman" w:cs="Calibri"/>
                      <w:color w:val="000000"/>
                      <w:lang w:val="en-GB" w:eastAsia="en-GB"/>
                    </w:rPr>
                  </w:pPr>
                  <w:r w:rsidRPr="00C617A6">
                    <w:rPr>
                      <w:rFonts w:ascii="Calibri" w:hAnsi="Calibri" w:eastAsia="Times New Roman" w:cs="Calibri"/>
                      <w:color w:val="000000"/>
                      <w:lang w:val="en-GB" w:eastAsia="en-GB"/>
                    </w:rPr>
                    <w:t xml:space="preserve">6,072,038 </w:t>
                  </w:r>
                </w:p>
              </w:tc>
              <w:tc>
                <w:tcPr>
                  <w:tcW w:w="1276" w:type="dxa"/>
                  <w:tcBorders>
                    <w:top w:val="nil"/>
                    <w:left w:val="nil"/>
                    <w:bottom w:val="single" w:color="auto" w:sz="4" w:space="0"/>
                    <w:right w:val="single" w:color="auto" w:sz="4" w:space="0"/>
                  </w:tcBorders>
                  <w:shd w:val="clear" w:color="auto" w:fill="auto"/>
                  <w:noWrap/>
                  <w:vAlign w:val="bottom"/>
                  <w:hideMark/>
                </w:tcPr>
                <w:p w:rsidRPr="00C617A6" w:rsidR="00C617A6" w:rsidP="00C617A6" w:rsidRDefault="00C617A6" w14:paraId="125033D4" w14:textId="77777777">
                  <w:pPr>
                    <w:widowControl/>
                    <w:autoSpaceDE/>
                    <w:autoSpaceDN/>
                    <w:jc w:val="right"/>
                    <w:rPr>
                      <w:rFonts w:ascii="Calibri" w:hAnsi="Calibri" w:eastAsia="Times New Roman" w:cs="Calibri"/>
                      <w:color w:val="000000"/>
                      <w:lang w:val="en-GB" w:eastAsia="en-GB"/>
                    </w:rPr>
                  </w:pPr>
                  <w:r w:rsidRPr="00C617A6">
                    <w:rPr>
                      <w:rFonts w:ascii="Calibri" w:hAnsi="Calibri" w:eastAsia="Times New Roman" w:cs="Calibri"/>
                      <w:color w:val="000000"/>
                      <w:lang w:val="en-GB" w:eastAsia="en-GB"/>
                    </w:rPr>
                    <w:t xml:space="preserve">1,303,314 </w:t>
                  </w:r>
                </w:p>
              </w:tc>
              <w:tc>
                <w:tcPr>
                  <w:tcW w:w="1134" w:type="dxa"/>
                  <w:tcBorders>
                    <w:top w:val="nil"/>
                    <w:left w:val="nil"/>
                    <w:bottom w:val="single" w:color="auto" w:sz="4" w:space="0"/>
                    <w:right w:val="single" w:color="auto" w:sz="4" w:space="0"/>
                  </w:tcBorders>
                  <w:shd w:val="clear" w:color="auto" w:fill="auto"/>
                  <w:noWrap/>
                  <w:vAlign w:val="bottom"/>
                  <w:hideMark/>
                </w:tcPr>
                <w:p w:rsidRPr="00C617A6" w:rsidR="00C617A6" w:rsidP="00C617A6" w:rsidRDefault="00C617A6" w14:paraId="29E10483" w14:textId="77777777">
                  <w:pPr>
                    <w:widowControl/>
                    <w:autoSpaceDE/>
                    <w:autoSpaceDN/>
                    <w:jc w:val="right"/>
                    <w:rPr>
                      <w:rFonts w:ascii="Calibri" w:hAnsi="Calibri" w:eastAsia="Times New Roman" w:cs="Calibri"/>
                      <w:color w:val="000000"/>
                      <w:lang w:val="en-GB" w:eastAsia="en-GB"/>
                    </w:rPr>
                  </w:pPr>
                  <w:r w:rsidRPr="00C617A6">
                    <w:rPr>
                      <w:rFonts w:ascii="Calibri" w:hAnsi="Calibri" w:eastAsia="Times New Roman" w:cs="Calibri"/>
                      <w:color w:val="000000"/>
                      <w:lang w:val="en-GB" w:eastAsia="en-GB"/>
                    </w:rPr>
                    <w:t>27.33%</w:t>
                  </w:r>
                </w:p>
              </w:tc>
            </w:tr>
            <w:tr w:rsidRPr="00C617A6" w:rsidR="00C617A6" w:rsidTr="00C617A6" w14:paraId="113BE733" w14:textId="77777777">
              <w:trPr>
                <w:trHeight w:val="300"/>
              </w:trPr>
              <w:tc>
                <w:tcPr>
                  <w:tcW w:w="1288" w:type="dxa"/>
                  <w:tcBorders>
                    <w:top w:val="nil"/>
                    <w:left w:val="single" w:color="auto" w:sz="4" w:space="0"/>
                    <w:bottom w:val="single" w:color="auto" w:sz="4" w:space="0"/>
                    <w:right w:val="single" w:color="auto" w:sz="4" w:space="0"/>
                  </w:tcBorders>
                  <w:shd w:val="clear" w:color="auto" w:fill="auto"/>
                  <w:noWrap/>
                  <w:vAlign w:val="bottom"/>
                  <w:hideMark/>
                </w:tcPr>
                <w:p w:rsidRPr="00C617A6" w:rsidR="00C617A6" w:rsidP="00C617A6" w:rsidRDefault="00C617A6" w14:paraId="458CE37A" w14:textId="77777777">
                  <w:pPr>
                    <w:widowControl/>
                    <w:autoSpaceDE/>
                    <w:autoSpaceDN/>
                    <w:rPr>
                      <w:rFonts w:ascii="Calibri" w:hAnsi="Calibri" w:eastAsia="Times New Roman" w:cs="Calibri"/>
                      <w:color w:val="000000"/>
                      <w:lang w:val="en-GB" w:eastAsia="en-GB"/>
                    </w:rPr>
                  </w:pPr>
                  <w:r w:rsidRPr="00C617A6">
                    <w:rPr>
                      <w:rFonts w:ascii="Calibri" w:hAnsi="Calibri" w:eastAsia="Times New Roman" w:cs="Calibri"/>
                      <w:color w:val="000000"/>
                      <w:lang w:val="en-GB" w:eastAsia="en-GB"/>
                    </w:rPr>
                    <w:t xml:space="preserve">Special </w:t>
                  </w:r>
                </w:p>
              </w:tc>
              <w:tc>
                <w:tcPr>
                  <w:tcW w:w="1275" w:type="dxa"/>
                  <w:tcBorders>
                    <w:top w:val="nil"/>
                    <w:left w:val="nil"/>
                    <w:bottom w:val="single" w:color="auto" w:sz="4" w:space="0"/>
                    <w:right w:val="single" w:color="auto" w:sz="4" w:space="0"/>
                  </w:tcBorders>
                  <w:shd w:val="clear" w:color="auto" w:fill="auto"/>
                  <w:noWrap/>
                  <w:vAlign w:val="bottom"/>
                  <w:hideMark/>
                </w:tcPr>
                <w:p w:rsidRPr="00C617A6" w:rsidR="00C617A6" w:rsidP="00C617A6" w:rsidRDefault="00C617A6" w14:paraId="48FFA6A5" w14:textId="77777777">
                  <w:pPr>
                    <w:widowControl/>
                    <w:autoSpaceDE/>
                    <w:autoSpaceDN/>
                    <w:jc w:val="right"/>
                    <w:rPr>
                      <w:rFonts w:ascii="Calibri" w:hAnsi="Calibri" w:eastAsia="Times New Roman" w:cs="Calibri"/>
                      <w:color w:val="000000"/>
                      <w:lang w:val="en-GB" w:eastAsia="en-GB"/>
                    </w:rPr>
                  </w:pPr>
                  <w:r w:rsidRPr="00C617A6">
                    <w:rPr>
                      <w:rFonts w:ascii="Calibri" w:hAnsi="Calibri" w:eastAsia="Times New Roman" w:cs="Calibri"/>
                      <w:color w:val="000000"/>
                      <w:lang w:val="en-GB" w:eastAsia="en-GB"/>
                    </w:rPr>
                    <w:t>2</w:t>
                  </w:r>
                </w:p>
              </w:tc>
              <w:tc>
                <w:tcPr>
                  <w:tcW w:w="1276" w:type="dxa"/>
                  <w:tcBorders>
                    <w:top w:val="nil"/>
                    <w:left w:val="nil"/>
                    <w:bottom w:val="single" w:color="auto" w:sz="4" w:space="0"/>
                    <w:right w:val="single" w:color="auto" w:sz="4" w:space="0"/>
                  </w:tcBorders>
                  <w:shd w:val="clear" w:color="auto" w:fill="auto"/>
                  <w:noWrap/>
                  <w:vAlign w:val="bottom"/>
                  <w:hideMark/>
                </w:tcPr>
                <w:p w:rsidRPr="00C617A6" w:rsidR="00C617A6" w:rsidP="00C617A6" w:rsidRDefault="00C617A6" w14:paraId="12A8F44A" w14:textId="77777777">
                  <w:pPr>
                    <w:widowControl/>
                    <w:autoSpaceDE/>
                    <w:autoSpaceDN/>
                    <w:jc w:val="right"/>
                    <w:rPr>
                      <w:rFonts w:ascii="Calibri" w:hAnsi="Calibri" w:eastAsia="Times New Roman" w:cs="Calibri"/>
                      <w:color w:val="000000"/>
                      <w:lang w:val="en-GB" w:eastAsia="en-GB"/>
                    </w:rPr>
                  </w:pPr>
                  <w:r w:rsidRPr="00C617A6">
                    <w:rPr>
                      <w:rFonts w:ascii="Calibri" w:hAnsi="Calibri" w:eastAsia="Times New Roman" w:cs="Calibri"/>
                      <w:color w:val="000000"/>
                      <w:lang w:val="en-GB" w:eastAsia="en-GB"/>
                    </w:rPr>
                    <w:t>823,000</w:t>
                  </w:r>
                </w:p>
              </w:tc>
              <w:tc>
                <w:tcPr>
                  <w:tcW w:w="1276" w:type="dxa"/>
                  <w:tcBorders>
                    <w:top w:val="nil"/>
                    <w:left w:val="nil"/>
                    <w:bottom w:val="single" w:color="auto" w:sz="4" w:space="0"/>
                    <w:right w:val="single" w:color="auto" w:sz="4" w:space="0"/>
                  </w:tcBorders>
                  <w:shd w:val="clear" w:color="auto" w:fill="auto"/>
                  <w:noWrap/>
                  <w:vAlign w:val="bottom"/>
                  <w:hideMark/>
                </w:tcPr>
                <w:p w:rsidRPr="00C617A6" w:rsidR="00C617A6" w:rsidP="00C617A6" w:rsidRDefault="00C617A6" w14:paraId="76B08762" w14:textId="77777777">
                  <w:pPr>
                    <w:widowControl/>
                    <w:autoSpaceDE/>
                    <w:autoSpaceDN/>
                    <w:jc w:val="right"/>
                    <w:rPr>
                      <w:rFonts w:ascii="Calibri" w:hAnsi="Calibri" w:eastAsia="Times New Roman" w:cs="Calibri"/>
                      <w:color w:val="000000"/>
                      <w:lang w:val="en-GB" w:eastAsia="en-GB"/>
                    </w:rPr>
                  </w:pPr>
                  <w:r w:rsidRPr="00C617A6">
                    <w:rPr>
                      <w:rFonts w:ascii="Calibri" w:hAnsi="Calibri" w:eastAsia="Times New Roman" w:cs="Calibri"/>
                      <w:color w:val="000000"/>
                      <w:lang w:val="en-GB" w:eastAsia="en-GB"/>
                    </w:rPr>
                    <w:t xml:space="preserve">551,000 </w:t>
                  </w:r>
                </w:p>
              </w:tc>
              <w:tc>
                <w:tcPr>
                  <w:tcW w:w="1276" w:type="dxa"/>
                  <w:tcBorders>
                    <w:top w:val="nil"/>
                    <w:left w:val="nil"/>
                    <w:bottom w:val="single" w:color="auto" w:sz="4" w:space="0"/>
                    <w:right w:val="single" w:color="auto" w:sz="4" w:space="0"/>
                  </w:tcBorders>
                  <w:shd w:val="clear" w:color="auto" w:fill="auto"/>
                  <w:noWrap/>
                  <w:vAlign w:val="bottom"/>
                  <w:hideMark/>
                </w:tcPr>
                <w:p w:rsidRPr="00C617A6" w:rsidR="00C617A6" w:rsidP="00C617A6" w:rsidRDefault="00C617A6" w14:paraId="6D46A5E5" w14:textId="77777777">
                  <w:pPr>
                    <w:widowControl/>
                    <w:autoSpaceDE/>
                    <w:autoSpaceDN/>
                    <w:jc w:val="right"/>
                    <w:rPr>
                      <w:rFonts w:ascii="Calibri" w:hAnsi="Calibri" w:eastAsia="Times New Roman" w:cs="Calibri"/>
                      <w:color w:val="000000"/>
                      <w:lang w:val="en-GB" w:eastAsia="en-GB"/>
                    </w:rPr>
                  </w:pPr>
                  <w:r w:rsidRPr="00C617A6">
                    <w:rPr>
                      <w:rFonts w:ascii="Calibri" w:hAnsi="Calibri" w:eastAsia="Times New Roman" w:cs="Calibri"/>
                      <w:color w:val="FF0000"/>
                      <w:lang w:val="en-GB" w:eastAsia="en-GB"/>
                    </w:rPr>
                    <w:t xml:space="preserve">-272,000 </w:t>
                  </w:r>
                </w:p>
              </w:tc>
              <w:tc>
                <w:tcPr>
                  <w:tcW w:w="1134" w:type="dxa"/>
                  <w:tcBorders>
                    <w:top w:val="nil"/>
                    <w:left w:val="nil"/>
                    <w:bottom w:val="single" w:color="auto" w:sz="4" w:space="0"/>
                    <w:right w:val="single" w:color="auto" w:sz="4" w:space="0"/>
                  </w:tcBorders>
                  <w:shd w:val="clear" w:color="auto" w:fill="auto"/>
                  <w:noWrap/>
                  <w:vAlign w:val="bottom"/>
                  <w:hideMark/>
                </w:tcPr>
                <w:p w:rsidRPr="00C617A6" w:rsidR="00C617A6" w:rsidP="00C617A6" w:rsidRDefault="00C617A6" w14:paraId="4A574697" w14:textId="77777777">
                  <w:pPr>
                    <w:widowControl/>
                    <w:autoSpaceDE/>
                    <w:autoSpaceDN/>
                    <w:jc w:val="right"/>
                    <w:rPr>
                      <w:rFonts w:ascii="Calibri" w:hAnsi="Calibri" w:eastAsia="Times New Roman" w:cs="Calibri"/>
                      <w:color w:val="FF0000"/>
                      <w:lang w:val="en-GB" w:eastAsia="en-GB"/>
                    </w:rPr>
                  </w:pPr>
                  <w:r w:rsidRPr="00C617A6">
                    <w:rPr>
                      <w:rFonts w:ascii="Calibri" w:hAnsi="Calibri" w:eastAsia="Times New Roman" w:cs="Calibri"/>
                      <w:color w:val="FF0000"/>
                      <w:lang w:val="en-GB" w:eastAsia="en-GB"/>
                    </w:rPr>
                    <w:t>-33.05%</w:t>
                  </w:r>
                </w:p>
              </w:tc>
            </w:tr>
            <w:tr w:rsidRPr="00C617A6" w:rsidR="00C617A6" w:rsidTr="00C617A6" w14:paraId="3E6FAF8C" w14:textId="77777777">
              <w:trPr>
                <w:trHeight w:val="300"/>
              </w:trPr>
              <w:tc>
                <w:tcPr>
                  <w:tcW w:w="1288" w:type="dxa"/>
                  <w:tcBorders>
                    <w:top w:val="nil"/>
                    <w:left w:val="single" w:color="auto" w:sz="4" w:space="0"/>
                    <w:bottom w:val="single" w:color="auto" w:sz="4" w:space="0"/>
                    <w:right w:val="single" w:color="auto" w:sz="4" w:space="0"/>
                  </w:tcBorders>
                  <w:shd w:val="clear" w:color="auto" w:fill="auto"/>
                  <w:noWrap/>
                  <w:vAlign w:val="bottom"/>
                  <w:hideMark/>
                </w:tcPr>
                <w:p w:rsidRPr="00C617A6" w:rsidR="00C617A6" w:rsidP="00C617A6" w:rsidRDefault="00C617A6" w14:paraId="422148EC" w14:textId="77777777">
                  <w:pPr>
                    <w:widowControl/>
                    <w:autoSpaceDE/>
                    <w:autoSpaceDN/>
                    <w:rPr>
                      <w:rFonts w:ascii="Calibri" w:hAnsi="Calibri" w:eastAsia="Times New Roman" w:cs="Calibri"/>
                      <w:color w:val="000000"/>
                      <w:lang w:val="en-GB" w:eastAsia="en-GB"/>
                    </w:rPr>
                  </w:pPr>
                  <w:r w:rsidRPr="00C617A6">
                    <w:rPr>
                      <w:rFonts w:ascii="Calibri" w:hAnsi="Calibri" w:eastAsia="Times New Roman" w:cs="Calibri"/>
                      <w:color w:val="000000"/>
                      <w:lang w:val="en-GB" w:eastAsia="en-GB"/>
                    </w:rPr>
                    <w:t>PRU</w:t>
                  </w:r>
                </w:p>
              </w:tc>
              <w:tc>
                <w:tcPr>
                  <w:tcW w:w="1275" w:type="dxa"/>
                  <w:tcBorders>
                    <w:top w:val="nil"/>
                    <w:left w:val="nil"/>
                    <w:bottom w:val="single" w:color="auto" w:sz="4" w:space="0"/>
                    <w:right w:val="single" w:color="auto" w:sz="4" w:space="0"/>
                  </w:tcBorders>
                  <w:shd w:val="clear" w:color="auto" w:fill="auto"/>
                  <w:noWrap/>
                  <w:vAlign w:val="bottom"/>
                  <w:hideMark/>
                </w:tcPr>
                <w:p w:rsidRPr="00C617A6" w:rsidR="00C617A6" w:rsidP="00C617A6" w:rsidRDefault="00C617A6" w14:paraId="11F764D2" w14:textId="77777777">
                  <w:pPr>
                    <w:widowControl/>
                    <w:autoSpaceDE/>
                    <w:autoSpaceDN/>
                    <w:jc w:val="right"/>
                    <w:rPr>
                      <w:rFonts w:ascii="Calibri" w:hAnsi="Calibri" w:eastAsia="Times New Roman" w:cs="Calibri"/>
                      <w:color w:val="000000"/>
                      <w:lang w:val="en-GB" w:eastAsia="en-GB"/>
                    </w:rPr>
                  </w:pPr>
                  <w:r w:rsidRPr="00C617A6">
                    <w:rPr>
                      <w:rFonts w:ascii="Calibri" w:hAnsi="Calibri" w:eastAsia="Times New Roman" w:cs="Calibri"/>
                      <w:color w:val="000000"/>
                      <w:lang w:val="en-GB" w:eastAsia="en-GB"/>
                    </w:rPr>
                    <w:t>1</w:t>
                  </w:r>
                </w:p>
              </w:tc>
              <w:tc>
                <w:tcPr>
                  <w:tcW w:w="1276" w:type="dxa"/>
                  <w:tcBorders>
                    <w:top w:val="nil"/>
                    <w:left w:val="nil"/>
                    <w:bottom w:val="single" w:color="auto" w:sz="4" w:space="0"/>
                    <w:right w:val="single" w:color="auto" w:sz="4" w:space="0"/>
                  </w:tcBorders>
                  <w:shd w:val="clear" w:color="auto" w:fill="auto"/>
                  <w:noWrap/>
                  <w:vAlign w:val="bottom"/>
                  <w:hideMark/>
                </w:tcPr>
                <w:p w:rsidRPr="00C617A6" w:rsidR="00C617A6" w:rsidP="00C617A6" w:rsidRDefault="00C617A6" w14:paraId="5AE39305" w14:textId="77777777">
                  <w:pPr>
                    <w:widowControl/>
                    <w:autoSpaceDE/>
                    <w:autoSpaceDN/>
                    <w:jc w:val="right"/>
                    <w:rPr>
                      <w:rFonts w:ascii="Calibri" w:hAnsi="Calibri" w:eastAsia="Times New Roman" w:cs="Calibri"/>
                      <w:color w:val="000000"/>
                      <w:lang w:val="en-GB" w:eastAsia="en-GB"/>
                    </w:rPr>
                  </w:pPr>
                  <w:r w:rsidRPr="00C617A6">
                    <w:rPr>
                      <w:rFonts w:ascii="Calibri" w:hAnsi="Calibri" w:eastAsia="Times New Roman" w:cs="Calibri"/>
                      <w:color w:val="FF0000"/>
                      <w:lang w:val="en-GB" w:eastAsia="en-GB"/>
                    </w:rPr>
                    <w:t xml:space="preserve">-41,000 </w:t>
                  </w:r>
                </w:p>
              </w:tc>
              <w:tc>
                <w:tcPr>
                  <w:tcW w:w="1276" w:type="dxa"/>
                  <w:tcBorders>
                    <w:top w:val="nil"/>
                    <w:left w:val="nil"/>
                    <w:bottom w:val="single" w:color="auto" w:sz="4" w:space="0"/>
                    <w:right w:val="single" w:color="auto" w:sz="4" w:space="0"/>
                  </w:tcBorders>
                  <w:shd w:val="clear" w:color="auto" w:fill="auto"/>
                  <w:noWrap/>
                  <w:vAlign w:val="bottom"/>
                  <w:hideMark/>
                </w:tcPr>
                <w:p w:rsidRPr="00C617A6" w:rsidR="00C617A6" w:rsidP="00C617A6" w:rsidRDefault="00C617A6" w14:paraId="678C12A3" w14:textId="77777777">
                  <w:pPr>
                    <w:widowControl/>
                    <w:autoSpaceDE/>
                    <w:autoSpaceDN/>
                    <w:jc w:val="right"/>
                    <w:rPr>
                      <w:rFonts w:ascii="Calibri" w:hAnsi="Calibri" w:eastAsia="Times New Roman" w:cs="Calibri"/>
                      <w:color w:val="000000"/>
                      <w:lang w:val="en-GB" w:eastAsia="en-GB"/>
                    </w:rPr>
                  </w:pPr>
                  <w:r w:rsidRPr="00C617A6">
                    <w:rPr>
                      <w:rFonts w:ascii="Calibri" w:hAnsi="Calibri" w:eastAsia="Times New Roman" w:cs="Calibri"/>
                      <w:color w:val="FF0000"/>
                      <w:lang w:val="en-GB" w:eastAsia="en-GB"/>
                    </w:rPr>
                    <w:t xml:space="preserve">-228,000 </w:t>
                  </w:r>
                </w:p>
              </w:tc>
              <w:tc>
                <w:tcPr>
                  <w:tcW w:w="1276" w:type="dxa"/>
                  <w:tcBorders>
                    <w:top w:val="nil"/>
                    <w:left w:val="nil"/>
                    <w:bottom w:val="single" w:color="auto" w:sz="4" w:space="0"/>
                    <w:right w:val="single" w:color="auto" w:sz="4" w:space="0"/>
                  </w:tcBorders>
                  <w:shd w:val="clear" w:color="auto" w:fill="auto"/>
                  <w:noWrap/>
                  <w:vAlign w:val="bottom"/>
                  <w:hideMark/>
                </w:tcPr>
                <w:p w:rsidRPr="00C617A6" w:rsidR="00C617A6" w:rsidP="00C617A6" w:rsidRDefault="00C617A6" w14:paraId="03B3DFAB" w14:textId="77777777">
                  <w:pPr>
                    <w:widowControl/>
                    <w:autoSpaceDE/>
                    <w:autoSpaceDN/>
                    <w:jc w:val="right"/>
                    <w:rPr>
                      <w:rFonts w:ascii="Calibri" w:hAnsi="Calibri" w:eastAsia="Times New Roman" w:cs="Calibri"/>
                      <w:color w:val="000000"/>
                      <w:lang w:val="en-GB" w:eastAsia="en-GB"/>
                    </w:rPr>
                  </w:pPr>
                  <w:r w:rsidRPr="00C617A6">
                    <w:rPr>
                      <w:rFonts w:ascii="Calibri" w:hAnsi="Calibri" w:eastAsia="Times New Roman" w:cs="Calibri"/>
                      <w:color w:val="FF0000"/>
                      <w:lang w:val="en-GB" w:eastAsia="en-GB"/>
                    </w:rPr>
                    <w:t xml:space="preserve">-187,000 </w:t>
                  </w:r>
                </w:p>
              </w:tc>
              <w:tc>
                <w:tcPr>
                  <w:tcW w:w="1134" w:type="dxa"/>
                  <w:tcBorders>
                    <w:top w:val="nil"/>
                    <w:left w:val="nil"/>
                    <w:bottom w:val="single" w:color="auto" w:sz="4" w:space="0"/>
                    <w:right w:val="single" w:color="auto" w:sz="4" w:space="0"/>
                  </w:tcBorders>
                  <w:shd w:val="clear" w:color="auto" w:fill="auto"/>
                  <w:noWrap/>
                  <w:vAlign w:val="bottom"/>
                  <w:hideMark/>
                </w:tcPr>
                <w:p w:rsidRPr="00C617A6" w:rsidR="00C617A6" w:rsidP="00C617A6" w:rsidRDefault="00C617A6" w14:paraId="26985E8B" w14:textId="77777777">
                  <w:pPr>
                    <w:widowControl/>
                    <w:autoSpaceDE/>
                    <w:autoSpaceDN/>
                    <w:jc w:val="right"/>
                    <w:rPr>
                      <w:rFonts w:ascii="Calibri" w:hAnsi="Calibri" w:eastAsia="Times New Roman" w:cs="Calibri"/>
                      <w:color w:val="000000"/>
                      <w:lang w:val="en-GB" w:eastAsia="en-GB"/>
                    </w:rPr>
                  </w:pPr>
                  <w:r w:rsidRPr="00C617A6">
                    <w:rPr>
                      <w:rFonts w:ascii="Calibri" w:hAnsi="Calibri" w:eastAsia="Times New Roman" w:cs="Calibri"/>
                      <w:color w:val="000000"/>
                      <w:lang w:val="en-GB" w:eastAsia="en-GB"/>
                    </w:rPr>
                    <w:t>456.10%</w:t>
                  </w:r>
                </w:p>
              </w:tc>
            </w:tr>
            <w:tr w:rsidRPr="00C617A6" w:rsidR="00C617A6" w:rsidTr="00C617A6" w14:paraId="167A39BA" w14:textId="77777777">
              <w:trPr>
                <w:trHeight w:val="300"/>
              </w:trPr>
              <w:tc>
                <w:tcPr>
                  <w:tcW w:w="1288" w:type="dxa"/>
                  <w:tcBorders>
                    <w:top w:val="nil"/>
                    <w:left w:val="single" w:color="auto" w:sz="4" w:space="0"/>
                    <w:bottom w:val="single" w:color="auto" w:sz="4" w:space="0"/>
                    <w:right w:val="single" w:color="auto" w:sz="4" w:space="0"/>
                  </w:tcBorders>
                  <w:shd w:val="clear" w:color="000000" w:fill="D9D9D9"/>
                  <w:noWrap/>
                  <w:vAlign w:val="bottom"/>
                  <w:hideMark/>
                </w:tcPr>
                <w:p w:rsidRPr="00C617A6" w:rsidR="00C617A6" w:rsidP="00C617A6" w:rsidRDefault="00C617A6" w14:paraId="0F411FC8" w14:textId="77777777">
                  <w:pPr>
                    <w:widowControl/>
                    <w:autoSpaceDE/>
                    <w:autoSpaceDN/>
                    <w:rPr>
                      <w:rFonts w:ascii="Calibri" w:hAnsi="Calibri" w:eastAsia="Times New Roman" w:cs="Calibri"/>
                      <w:b/>
                      <w:bCs/>
                      <w:color w:val="000000"/>
                      <w:lang w:val="en-GB" w:eastAsia="en-GB"/>
                    </w:rPr>
                  </w:pPr>
                  <w:r w:rsidRPr="00C617A6">
                    <w:rPr>
                      <w:rFonts w:ascii="Calibri" w:hAnsi="Calibri" w:eastAsia="Times New Roman" w:cs="Calibri"/>
                      <w:b/>
                      <w:bCs/>
                      <w:color w:val="000000"/>
                      <w:lang w:val="en-GB" w:eastAsia="en-GB"/>
                    </w:rPr>
                    <w:t>Total</w:t>
                  </w:r>
                </w:p>
              </w:tc>
              <w:tc>
                <w:tcPr>
                  <w:tcW w:w="1275" w:type="dxa"/>
                  <w:tcBorders>
                    <w:top w:val="nil"/>
                    <w:left w:val="nil"/>
                    <w:bottom w:val="single" w:color="auto" w:sz="4" w:space="0"/>
                    <w:right w:val="single" w:color="auto" w:sz="4" w:space="0"/>
                  </w:tcBorders>
                  <w:shd w:val="clear" w:color="000000" w:fill="D9D9D9"/>
                  <w:noWrap/>
                  <w:vAlign w:val="bottom"/>
                  <w:hideMark/>
                </w:tcPr>
                <w:p w:rsidRPr="00C617A6" w:rsidR="00C617A6" w:rsidP="00C617A6" w:rsidRDefault="00C617A6" w14:paraId="506CE53E" w14:textId="77777777">
                  <w:pPr>
                    <w:widowControl/>
                    <w:autoSpaceDE/>
                    <w:autoSpaceDN/>
                    <w:jc w:val="right"/>
                    <w:rPr>
                      <w:rFonts w:ascii="Calibri" w:hAnsi="Calibri" w:eastAsia="Times New Roman" w:cs="Calibri"/>
                      <w:b/>
                      <w:bCs/>
                      <w:color w:val="000000"/>
                      <w:lang w:val="en-GB" w:eastAsia="en-GB"/>
                    </w:rPr>
                  </w:pPr>
                  <w:r w:rsidRPr="00C617A6">
                    <w:rPr>
                      <w:rFonts w:ascii="Calibri" w:hAnsi="Calibri" w:eastAsia="Times New Roman" w:cs="Calibri"/>
                      <w:b/>
                      <w:bCs/>
                      <w:color w:val="000000"/>
                      <w:lang w:val="en-GB" w:eastAsia="en-GB"/>
                    </w:rPr>
                    <w:t>51</w:t>
                  </w:r>
                </w:p>
              </w:tc>
              <w:tc>
                <w:tcPr>
                  <w:tcW w:w="1276" w:type="dxa"/>
                  <w:tcBorders>
                    <w:top w:val="nil"/>
                    <w:left w:val="nil"/>
                    <w:bottom w:val="single" w:color="auto" w:sz="4" w:space="0"/>
                    <w:right w:val="single" w:color="auto" w:sz="4" w:space="0"/>
                  </w:tcBorders>
                  <w:shd w:val="clear" w:color="000000" w:fill="D9D9D9"/>
                  <w:noWrap/>
                  <w:vAlign w:val="bottom"/>
                  <w:hideMark/>
                </w:tcPr>
                <w:p w:rsidRPr="00C617A6" w:rsidR="00C617A6" w:rsidP="00C617A6" w:rsidRDefault="00C617A6" w14:paraId="7CA34E17" w14:textId="77777777">
                  <w:pPr>
                    <w:widowControl/>
                    <w:autoSpaceDE/>
                    <w:autoSpaceDN/>
                    <w:jc w:val="right"/>
                    <w:rPr>
                      <w:rFonts w:ascii="Calibri" w:hAnsi="Calibri" w:eastAsia="Times New Roman" w:cs="Calibri"/>
                      <w:b/>
                      <w:bCs/>
                      <w:color w:val="000000"/>
                      <w:lang w:val="en-GB" w:eastAsia="en-GB"/>
                    </w:rPr>
                  </w:pPr>
                  <w:r w:rsidRPr="00C617A6">
                    <w:rPr>
                      <w:rFonts w:ascii="Calibri" w:hAnsi="Calibri" w:eastAsia="Times New Roman" w:cs="Calibri"/>
                      <w:b/>
                      <w:bCs/>
                      <w:color w:val="000000"/>
                      <w:lang w:val="en-GB" w:eastAsia="en-GB"/>
                    </w:rPr>
                    <w:t>21,682,409</w:t>
                  </w:r>
                </w:p>
              </w:tc>
              <w:tc>
                <w:tcPr>
                  <w:tcW w:w="1276" w:type="dxa"/>
                  <w:tcBorders>
                    <w:top w:val="nil"/>
                    <w:left w:val="nil"/>
                    <w:bottom w:val="single" w:color="auto" w:sz="4" w:space="0"/>
                    <w:right w:val="single" w:color="auto" w:sz="4" w:space="0"/>
                  </w:tcBorders>
                  <w:shd w:val="clear" w:color="000000" w:fill="D9D9D9"/>
                  <w:noWrap/>
                  <w:vAlign w:val="bottom"/>
                  <w:hideMark/>
                </w:tcPr>
                <w:p w:rsidRPr="00C617A6" w:rsidR="00C617A6" w:rsidP="00C617A6" w:rsidRDefault="00C617A6" w14:paraId="1FF7CF01" w14:textId="77777777">
                  <w:pPr>
                    <w:widowControl/>
                    <w:autoSpaceDE/>
                    <w:autoSpaceDN/>
                    <w:jc w:val="right"/>
                    <w:rPr>
                      <w:rFonts w:ascii="Calibri" w:hAnsi="Calibri" w:eastAsia="Times New Roman" w:cs="Calibri"/>
                      <w:b/>
                      <w:bCs/>
                      <w:color w:val="000000"/>
                      <w:lang w:val="en-GB" w:eastAsia="en-GB"/>
                    </w:rPr>
                  </w:pPr>
                  <w:r w:rsidRPr="00C617A6">
                    <w:rPr>
                      <w:rFonts w:ascii="Calibri" w:hAnsi="Calibri" w:eastAsia="Times New Roman" w:cs="Calibri"/>
                      <w:b/>
                      <w:bCs/>
                      <w:color w:val="000000"/>
                      <w:lang w:val="en-GB" w:eastAsia="en-GB"/>
                    </w:rPr>
                    <w:t xml:space="preserve">19,028,313 </w:t>
                  </w:r>
                </w:p>
              </w:tc>
              <w:tc>
                <w:tcPr>
                  <w:tcW w:w="1276" w:type="dxa"/>
                  <w:tcBorders>
                    <w:top w:val="nil"/>
                    <w:left w:val="nil"/>
                    <w:bottom w:val="single" w:color="auto" w:sz="4" w:space="0"/>
                    <w:right w:val="single" w:color="auto" w:sz="4" w:space="0"/>
                  </w:tcBorders>
                  <w:shd w:val="clear" w:color="000000" w:fill="D9D9D9"/>
                  <w:noWrap/>
                  <w:vAlign w:val="bottom"/>
                  <w:hideMark/>
                </w:tcPr>
                <w:p w:rsidRPr="00C617A6" w:rsidR="00C617A6" w:rsidP="00C617A6" w:rsidRDefault="00C617A6" w14:paraId="00CD1C94" w14:textId="77777777">
                  <w:pPr>
                    <w:widowControl/>
                    <w:autoSpaceDE/>
                    <w:autoSpaceDN/>
                    <w:jc w:val="right"/>
                    <w:rPr>
                      <w:rFonts w:ascii="Calibri" w:hAnsi="Calibri" w:eastAsia="Times New Roman" w:cs="Calibri"/>
                      <w:b/>
                      <w:bCs/>
                      <w:color w:val="000000"/>
                      <w:lang w:val="en-GB" w:eastAsia="en-GB"/>
                    </w:rPr>
                  </w:pPr>
                  <w:r w:rsidRPr="00C617A6">
                    <w:rPr>
                      <w:rFonts w:ascii="Calibri" w:hAnsi="Calibri" w:eastAsia="Times New Roman" w:cs="Calibri"/>
                      <w:b/>
                      <w:bCs/>
                      <w:color w:val="FF0000"/>
                      <w:lang w:val="en-GB" w:eastAsia="en-GB"/>
                    </w:rPr>
                    <w:t xml:space="preserve">-2,654,096 </w:t>
                  </w:r>
                </w:p>
              </w:tc>
              <w:tc>
                <w:tcPr>
                  <w:tcW w:w="1134" w:type="dxa"/>
                  <w:tcBorders>
                    <w:top w:val="nil"/>
                    <w:left w:val="nil"/>
                    <w:bottom w:val="single" w:color="auto" w:sz="4" w:space="0"/>
                    <w:right w:val="single" w:color="auto" w:sz="4" w:space="0"/>
                  </w:tcBorders>
                  <w:shd w:val="clear" w:color="000000" w:fill="D9D9D9"/>
                  <w:noWrap/>
                  <w:vAlign w:val="bottom"/>
                  <w:hideMark/>
                </w:tcPr>
                <w:p w:rsidRPr="00C617A6" w:rsidR="00C617A6" w:rsidP="00C617A6" w:rsidRDefault="00C617A6" w14:paraId="57CE0A9E" w14:textId="77777777">
                  <w:pPr>
                    <w:widowControl/>
                    <w:autoSpaceDE/>
                    <w:autoSpaceDN/>
                    <w:jc w:val="right"/>
                    <w:rPr>
                      <w:rFonts w:ascii="Calibri" w:hAnsi="Calibri" w:eastAsia="Times New Roman" w:cs="Calibri"/>
                      <w:b/>
                      <w:bCs/>
                      <w:color w:val="FF0000"/>
                      <w:lang w:val="en-GB" w:eastAsia="en-GB"/>
                    </w:rPr>
                  </w:pPr>
                  <w:r w:rsidRPr="00C617A6">
                    <w:rPr>
                      <w:rFonts w:ascii="Calibri" w:hAnsi="Calibri" w:eastAsia="Times New Roman" w:cs="Calibri"/>
                      <w:b/>
                      <w:bCs/>
                      <w:color w:val="FF0000"/>
                      <w:lang w:val="en-GB" w:eastAsia="en-GB"/>
                    </w:rPr>
                    <w:t>-12.24%</w:t>
                  </w:r>
                </w:p>
              </w:tc>
            </w:tr>
          </w:tbl>
          <w:p w:rsidR="00577C1D" w:rsidP="005A1E28" w:rsidRDefault="00577C1D" w14:paraId="6182ABF6" w14:textId="77777777">
            <w:pPr>
              <w:pStyle w:val="TableParagraph"/>
              <w:spacing w:before="0"/>
              <w:jc w:val="left"/>
              <w:rPr>
                <w:sz w:val="24"/>
                <w:szCs w:val="24"/>
              </w:rPr>
            </w:pPr>
          </w:p>
          <w:p w:rsidR="000D11FA" w:rsidP="005A1E28" w:rsidRDefault="00F1773F" w14:paraId="40DDDA3F" w14:textId="107B33E6">
            <w:pPr>
              <w:pStyle w:val="TableParagraph"/>
              <w:spacing w:before="0"/>
              <w:jc w:val="left"/>
              <w:rPr>
                <w:sz w:val="24"/>
                <w:szCs w:val="24"/>
              </w:rPr>
            </w:pPr>
            <w:r>
              <w:rPr>
                <w:sz w:val="24"/>
                <w:szCs w:val="24"/>
              </w:rPr>
              <w:t xml:space="preserve">Appendix B shows the Academy balances </w:t>
            </w:r>
            <w:r w:rsidR="007248F2">
              <w:rPr>
                <w:sz w:val="24"/>
                <w:szCs w:val="24"/>
              </w:rPr>
              <w:t>at school level</w:t>
            </w:r>
          </w:p>
          <w:p w:rsidRPr="00A70107" w:rsidR="002C4D08" w:rsidP="005A1E28" w:rsidRDefault="002C4D08" w14:paraId="1239F4E6" w14:textId="6F892DA3">
            <w:pPr>
              <w:pStyle w:val="TableParagraph"/>
              <w:spacing w:before="0"/>
              <w:jc w:val="left"/>
              <w:rPr>
                <w:sz w:val="24"/>
                <w:szCs w:val="24"/>
              </w:rPr>
            </w:pPr>
          </w:p>
        </w:tc>
      </w:tr>
      <w:tr w:rsidRPr="00A70107" w:rsidR="00A25435" w:rsidTr="0042235B" w14:paraId="0B6FA260" w14:textId="77777777">
        <w:trPr>
          <w:trHeight w:val="260"/>
        </w:trPr>
        <w:tc>
          <w:tcPr>
            <w:tcW w:w="547" w:type="dxa"/>
          </w:tcPr>
          <w:p w:rsidR="00A25435" w:rsidP="00A25435" w:rsidRDefault="002C7CC8" w14:paraId="53B39508" w14:textId="77777777">
            <w:pPr>
              <w:pStyle w:val="TableParagraph"/>
              <w:spacing w:before="0"/>
              <w:jc w:val="left"/>
              <w:rPr>
                <w:b/>
                <w:bCs/>
                <w:sz w:val="24"/>
                <w:szCs w:val="24"/>
              </w:rPr>
            </w:pPr>
            <w:r>
              <w:rPr>
                <w:b/>
                <w:bCs/>
                <w:sz w:val="24"/>
                <w:szCs w:val="24"/>
              </w:rPr>
              <w:lastRenderedPageBreak/>
              <w:t>4.0</w:t>
            </w:r>
          </w:p>
          <w:p w:rsidR="002C7CC8" w:rsidP="00A25435" w:rsidRDefault="002C7CC8" w14:paraId="7E7F995F" w14:textId="77777777">
            <w:pPr>
              <w:pStyle w:val="TableParagraph"/>
              <w:spacing w:before="0"/>
              <w:jc w:val="left"/>
              <w:rPr>
                <w:b/>
                <w:bCs/>
                <w:sz w:val="24"/>
                <w:szCs w:val="24"/>
              </w:rPr>
            </w:pPr>
          </w:p>
          <w:p w:rsidRPr="002C7CC8" w:rsidR="002C7CC8" w:rsidP="00A25435" w:rsidRDefault="002C7CC8" w14:paraId="2384518F" w14:textId="390CC6FA">
            <w:pPr>
              <w:pStyle w:val="TableParagraph"/>
              <w:spacing w:before="0"/>
              <w:jc w:val="left"/>
              <w:rPr>
                <w:sz w:val="24"/>
                <w:szCs w:val="24"/>
              </w:rPr>
            </w:pPr>
            <w:r w:rsidRPr="002C7CC8">
              <w:rPr>
                <w:sz w:val="24"/>
                <w:szCs w:val="24"/>
              </w:rPr>
              <w:t>4.1</w:t>
            </w:r>
          </w:p>
        </w:tc>
        <w:tc>
          <w:tcPr>
            <w:tcW w:w="9878" w:type="dxa"/>
          </w:tcPr>
          <w:p w:rsidRPr="007801E8" w:rsidR="00A556A3" w:rsidP="00A25435" w:rsidRDefault="002C7CC8" w14:paraId="74293713" w14:textId="6C32DC58">
            <w:pPr>
              <w:pStyle w:val="TableParagraph"/>
              <w:tabs>
                <w:tab w:val="left" w:pos="213"/>
              </w:tabs>
              <w:spacing w:before="0"/>
              <w:jc w:val="left"/>
              <w:rPr>
                <w:b/>
                <w:sz w:val="24"/>
                <w:szCs w:val="24"/>
              </w:rPr>
            </w:pPr>
            <w:r w:rsidRPr="007801E8">
              <w:rPr>
                <w:b/>
                <w:sz w:val="24"/>
                <w:szCs w:val="24"/>
              </w:rPr>
              <w:t>Revenue Income and Expenditure Per Pupil (Maintained Schools)</w:t>
            </w:r>
          </w:p>
          <w:p w:rsidR="002C7CC8" w:rsidP="00A25435" w:rsidRDefault="002C7CC8" w14:paraId="64B40B65" w14:textId="77777777">
            <w:pPr>
              <w:pStyle w:val="TableParagraph"/>
              <w:tabs>
                <w:tab w:val="left" w:pos="213"/>
              </w:tabs>
              <w:spacing w:before="0"/>
              <w:jc w:val="left"/>
              <w:rPr>
                <w:b/>
                <w:sz w:val="24"/>
                <w:szCs w:val="24"/>
                <w:u w:val="single"/>
              </w:rPr>
            </w:pPr>
          </w:p>
          <w:p w:rsidR="002C7CC8" w:rsidP="00A25435" w:rsidRDefault="008B115D" w14:paraId="43F68134" w14:textId="771DF075">
            <w:pPr>
              <w:pStyle w:val="TableParagraph"/>
              <w:tabs>
                <w:tab w:val="left" w:pos="213"/>
              </w:tabs>
              <w:spacing w:before="0"/>
              <w:jc w:val="left"/>
              <w:rPr>
                <w:bCs/>
                <w:sz w:val="24"/>
                <w:szCs w:val="24"/>
              </w:rPr>
            </w:pPr>
            <w:r w:rsidRPr="002C7CC8">
              <w:rPr>
                <w:bCs/>
                <w:sz w:val="24"/>
                <w:szCs w:val="24"/>
              </w:rPr>
              <w:t xml:space="preserve">Each </w:t>
            </w:r>
            <w:proofErr w:type="gramStart"/>
            <w:r w:rsidRPr="002C7CC8">
              <w:rPr>
                <w:bCs/>
                <w:sz w:val="24"/>
                <w:szCs w:val="24"/>
              </w:rPr>
              <w:t>year</w:t>
            </w:r>
            <w:r w:rsidR="002C7CC8">
              <w:rPr>
                <w:bCs/>
                <w:sz w:val="24"/>
                <w:szCs w:val="24"/>
              </w:rPr>
              <w:t xml:space="preserve"> </w:t>
            </w:r>
            <w:r w:rsidRPr="002C7CC8" w:rsidR="002C7CC8">
              <w:rPr>
                <w:bCs/>
                <w:sz w:val="24"/>
                <w:szCs w:val="24"/>
              </w:rPr>
              <w:t>maintained</w:t>
            </w:r>
            <w:proofErr w:type="gramEnd"/>
            <w:r w:rsidRPr="002C7CC8" w:rsidR="002C7CC8">
              <w:rPr>
                <w:bCs/>
                <w:sz w:val="24"/>
                <w:szCs w:val="24"/>
              </w:rPr>
              <w:t xml:space="preserve"> schools are required to submit their year-end accounts in a format called Consistent Financial Reporting (CFR)</w:t>
            </w:r>
            <w:r w:rsidR="002C7CC8">
              <w:rPr>
                <w:bCs/>
                <w:sz w:val="24"/>
                <w:szCs w:val="24"/>
              </w:rPr>
              <w:t>. The table below provides a summary of key areas of income and expenditure for 2020/21 and 2021/22. School level figures are detailed in Appendix C (spreadsheet attachment). The figures are based on the following:</w:t>
            </w:r>
          </w:p>
          <w:p w:rsidR="002C7CC8" w:rsidP="002C7CC8" w:rsidRDefault="002C7CC8" w14:paraId="5834718F" w14:textId="77777777">
            <w:pPr>
              <w:pStyle w:val="TableParagraph"/>
              <w:numPr>
                <w:ilvl w:val="0"/>
                <w:numId w:val="4"/>
              </w:numPr>
              <w:tabs>
                <w:tab w:val="left" w:pos="213"/>
              </w:tabs>
              <w:spacing w:before="0"/>
              <w:jc w:val="left"/>
              <w:rPr>
                <w:bCs/>
                <w:sz w:val="24"/>
                <w:szCs w:val="24"/>
              </w:rPr>
            </w:pPr>
            <w:r>
              <w:rPr>
                <w:bCs/>
                <w:sz w:val="24"/>
                <w:szCs w:val="24"/>
              </w:rPr>
              <w:t>Per pupil allocations/costs are averages for the sector</w:t>
            </w:r>
          </w:p>
          <w:p w:rsidR="002C7CC8" w:rsidP="002C7CC8" w:rsidRDefault="002C7CC8" w14:paraId="11DC6D94" w14:textId="292F1733">
            <w:pPr>
              <w:pStyle w:val="TableParagraph"/>
              <w:numPr>
                <w:ilvl w:val="0"/>
                <w:numId w:val="4"/>
              </w:numPr>
              <w:tabs>
                <w:tab w:val="left" w:pos="213"/>
              </w:tabs>
              <w:spacing w:before="0"/>
              <w:jc w:val="left"/>
              <w:rPr>
                <w:bCs/>
                <w:sz w:val="24"/>
                <w:szCs w:val="24"/>
              </w:rPr>
            </w:pPr>
            <w:r>
              <w:rPr>
                <w:bCs/>
                <w:sz w:val="24"/>
                <w:szCs w:val="24"/>
              </w:rPr>
              <w:t xml:space="preserve">FTE for 2020/21 are based on 5/12ths of Jan </w:t>
            </w:r>
            <w:r w:rsidR="008B115D">
              <w:rPr>
                <w:bCs/>
                <w:sz w:val="24"/>
                <w:szCs w:val="24"/>
              </w:rPr>
              <w:t>20</w:t>
            </w:r>
            <w:r>
              <w:rPr>
                <w:bCs/>
                <w:sz w:val="24"/>
                <w:szCs w:val="24"/>
              </w:rPr>
              <w:t xml:space="preserve"> census numbers and 7/12ths of Jan 2</w:t>
            </w:r>
            <w:r w:rsidR="008B115D">
              <w:rPr>
                <w:bCs/>
                <w:sz w:val="24"/>
                <w:szCs w:val="24"/>
              </w:rPr>
              <w:t>1</w:t>
            </w:r>
            <w:r>
              <w:rPr>
                <w:bCs/>
                <w:sz w:val="24"/>
                <w:szCs w:val="24"/>
              </w:rPr>
              <w:t xml:space="preserve"> census numbers </w:t>
            </w:r>
          </w:p>
          <w:p w:rsidR="002C7CC8" w:rsidP="002C7CC8" w:rsidRDefault="008B115D" w14:paraId="339DFB0E" w14:textId="23C69FD2">
            <w:pPr>
              <w:pStyle w:val="TableParagraph"/>
              <w:numPr>
                <w:ilvl w:val="0"/>
                <w:numId w:val="4"/>
              </w:numPr>
              <w:tabs>
                <w:tab w:val="left" w:pos="213"/>
              </w:tabs>
              <w:spacing w:before="0"/>
              <w:jc w:val="left"/>
              <w:rPr>
                <w:bCs/>
                <w:sz w:val="24"/>
                <w:szCs w:val="24"/>
              </w:rPr>
            </w:pPr>
            <w:r>
              <w:rPr>
                <w:bCs/>
                <w:sz w:val="24"/>
                <w:szCs w:val="24"/>
              </w:rPr>
              <w:t>FTE for 2021/22 are based on 5/12ths of Jan 21 census numbers and 7/12ths of Jan 22 census numbers</w:t>
            </w:r>
          </w:p>
          <w:p w:rsidR="008B115D" w:rsidP="002C7CC8" w:rsidRDefault="008B115D" w14:paraId="65D67C7E" w14:textId="1ADE22D3">
            <w:pPr>
              <w:pStyle w:val="TableParagraph"/>
              <w:numPr>
                <w:ilvl w:val="0"/>
                <w:numId w:val="4"/>
              </w:numPr>
              <w:tabs>
                <w:tab w:val="left" w:pos="213"/>
              </w:tabs>
              <w:spacing w:before="0"/>
              <w:jc w:val="left"/>
              <w:rPr>
                <w:bCs/>
                <w:sz w:val="24"/>
                <w:szCs w:val="24"/>
              </w:rPr>
            </w:pPr>
            <w:r>
              <w:rPr>
                <w:bCs/>
                <w:sz w:val="24"/>
                <w:szCs w:val="24"/>
              </w:rPr>
              <w:t>Schools block and 6</w:t>
            </w:r>
            <w:r w:rsidRPr="008B115D">
              <w:rPr>
                <w:bCs/>
                <w:sz w:val="24"/>
                <w:szCs w:val="24"/>
                <w:vertAlign w:val="superscript"/>
              </w:rPr>
              <w:t>th</w:t>
            </w:r>
            <w:r>
              <w:rPr>
                <w:bCs/>
                <w:sz w:val="24"/>
                <w:szCs w:val="24"/>
              </w:rPr>
              <w:t xml:space="preserve"> form funding include delegated fund</w:t>
            </w:r>
            <w:r w:rsidR="00164F06">
              <w:rPr>
                <w:bCs/>
                <w:sz w:val="24"/>
                <w:szCs w:val="24"/>
              </w:rPr>
              <w:t>s</w:t>
            </w:r>
            <w:r>
              <w:rPr>
                <w:bCs/>
                <w:sz w:val="24"/>
                <w:szCs w:val="24"/>
              </w:rPr>
              <w:t xml:space="preserve"> (I01), sixth form funding (I02), high needs funding (I03) and EAL funding (I04)</w:t>
            </w:r>
          </w:p>
          <w:p w:rsidR="008B115D" w:rsidP="002C7CC8" w:rsidRDefault="008B115D" w14:paraId="7E33BBB7" w14:textId="77777777">
            <w:pPr>
              <w:pStyle w:val="TableParagraph"/>
              <w:numPr>
                <w:ilvl w:val="0"/>
                <w:numId w:val="4"/>
              </w:numPr>
              <w:tabs>
                <w:tab w:val="left" w:pos="213"/>
              </w:tabs>
              <w:spacing w:before="0"/>
              <w:jc w:val="left"/>
              <w:rPr>
                <w:bCs/>
                <w:sz w:val="24"/>
                <w:szCs w:val="24"/>
              </w:rPr>
            </w:pPr>
            <w:r>
              <w:rPr>
                <w:bCs/>
                <w:sz w:val="24"/>
                <w:szCs w:val="24"/>
              </w:rPr>
              <w:t>Grant funding includes pupil premium (I05), government grants (I06), other grants and income (I07) and additional grants including covid catch up grants and PE sports grant (I18)</w:t>
            </w:r>
          </w:p>
          <w:p w:rsidR="008B115D" w:rsidP="002C7CC8" w:rsidRDefault="008B115D" w14:paraId="3FB26892" w14:textId="77777777">
            <w:pPr>
              <w:pStyle w:val="TableParagraph"/>
              <w:numPr>
                <w:ilvl w:val="0"/>
                <w:numId w:val="4"/>
              </w:numPr>
              <w:tabs>
                <w:tab w:val="left" w:pos="213"/>
              </w:tabs>
              <w:spacing w:before="0"/>
              <w:jc w:val="left"/>
              <w:rPr>
                <w:bCs/>
                <w:sz w:val="24"/>
                <w:szCs w:val="24"/>
              </w:rPr>
            </w:pPr>
            <w:proofErr w:type="gramStart"/>
            <w:r>
              <w:rPr>
                <w:bCs/>
                <w:sz w:val="24"/>
                <w:szCs w:val="24"/>
              </w:rPr>
              <w:t>Teachers</w:t>
            </w:r>
            <w:proofErr w:type="gramEnd"/>
            <w:r>
              <w:rPr>
                <w:bCs/>
                <w:sz w:val="24"/>
                <w:szCs w:val="24"/>
              </w:rPr>
              <w:t xml:space="preserve"> costs include contracted teachers (E01), supply (E02) and agency (E26)</w:t>
            </w:r>
          </w:p>
          <w:p w:rsidR="008B115D" w:rsidP="002C7CC8" w:rsidRDefault="008B115D" w14:paraId="552FA14E" w14:textId="77777777">
            <w:pPr>
              <w:pStyle w:val="TableParagraph"/>
              <w:numPr>
                <w:ilvl w:val="0"/>
                <w:numId w:val="4"/>
              </w:numPr>
              <w:tabs>
                <w:tab w:val="left" w:pos="213"/>
              </w:tabs>
              <w:spacing w:before="0"/>
              <w:jc w:val="left"/>
              <w:rPr>
                <w:bCs/>
                <w:sz w:val="24"/>
                <w:szCs w:val="24"/>
              </w:rPr>
            </w:pPr>
            <w:r>
              <w:rPr>
                <w:bCs/>
                <w:sz w:val="24"/>
                <w:szCs w:val="24"/>
              </w:rPr>
              <w:t xml:space="preserve">Other staff cost </w:t>
            </w:r>
            <w:proofErr w:type="gramStart"/>
            <w:r>
              <w:rPr>
                <w:bCs/>
                <w:sz w:val="24"/>
                <w:szCs w:val="24"/>
              </w:rPr>
              <w:t>include</w:t>
            </w:r>
            <w:proofErr w:type="gramEnd"/>
            <w:r>
              <w:rPr>
                <w:bCs/>
                <w:sz w:val="24"/>
                <w:szCs w:val="24"/>
              </w:rPr>
              <w:t xml:space="preserve"> premise staff (E04), admin and clerical staff (E05), catering staff (E06) and cost of other staff (E07)</w:t>
            </w:r>
          </w:p>
          <w:p w:rsidRPr="002C7CC8" w:rsidR="008B115D" w:rsidP="002C7CC8" w:rsidRDefault="008B115D" w14:paraId="26399E03" w14:textId="1C90A385">
            <w:pPr>
              <w:pStyle w:val="TableParagraph"/>
              <w:numPr>
                <w:ilvl w:val="0"/>
                <w:numId w:val="4"/>
              </w:numPr>
              <w:tabs>
                <w:tab w:val="left" w:pos="213"/>
              </w:tabs>
              <w:spacing w:before="0"/>
              <w:jc w:val="left"/>
              <w:rPr>
                <w:bCs/>
                <w:sz w:val="24"/>
                <w:szCs w:val="24"/>
              </w:rPr>
            </w:pPr>
            <w:r>
              <w:rPr>
                <w:bCs/>
                <w:sz w:val="24"/>
                <w:szCs w:val="24"/>
              </w:rPr>
              <w:t>Learning Resources include Curriculum Costs (E19) and ICT learning resources (E20)</w:t>
            </w:r>
          </w:p>
        </w:tc>
      </w:tr>
      <w:tr w:rsidRPr="00A70107" w:rsidR="00A25435" w:rsidTr="0042235B" w14:paraId="1C6E6D71" w14:textId="77777777">
        <w:trPr>
          <w:trHeight w:val="260"/>
        </w:trPr>
        <w:tc>
          <w:tcPr>
            <w:tcW w:w="547" w:type="dxa"/>
          </w:tcPr>
          <w:p w:rsidRPr="00A70107" w:rsidR="00A25435" w:rsidP="00A25435" w:rsidRDefault="00A25435" w14:paraId="54B4E2B6" w14:textId="77777777">
            <w:pPr>
              <w:pStyle w:val="TableParagraph"/>
              <w:spacing w:before="0"/>
              <w:jc w:val="left"/>
              <w:rPr>
                <w:sz w:val="24"/>
                <w:szCs w:val="24"/>
              </w:rPr>
            </w:pPr>
          </w:p>
        </w:tc>
        <w:tc>
          <w:tcPr>
            <w:tcW w:w="9878" w:type="dxa"/>
          </w:tcPr>
          <w:p w:rsidR="00A25435" w:rsidP="005A1E28" w:rsidRDefault="00A25435" w14:paraId="7D5C818B" w14:textId="77777777">
            <w:pPr>
              <w:pStyle w:val="TableParagraph"/>
              <w:spacing w:before="0"/>
              <w:jc w:val="left"/>
              <w:rPr>
                <w:sz w:val="24"/>
                <w:szCs w:val="24"/>
              </w:rPr>
            </w:pPr>
          </w:p>
          <w:p w:rsidRPr="00A70107" w:rsidR="009B3E2A" w:rsidP="005A1E28" w:rsidRDefault="009B3E2A" w14:paraId="3A6A55E8" w14:textId="39C2B312">
            <w:pPr>
              <w:pStyle w:val="TableParagraph"/>
              <w:spacing w:before="0"/>
              <w:jc w:val="left"/>
              <w:rPr>
                <w:sz w:val="24"/>
                <w:szCs w:val="24"/>
              </w:rPr>
            </w:pPr>
          </w:p>
        </w:tc>
      </w:tr>
      <w:tr w:rsidRPr="00A70107" w:rsidR="006E529B" w:rsidTr="0042235B" w14:paraId="1C47C219" w14:textId="77777777">
        <w:trPr>
          <w:trHeight w:val="260"/>
        </w:trPr>
        <w:tc>
          <w:tcPr>
            <w:tcW w:w="547" w:type="dxa"/>
          </w:tcPr>
          <w:p w:rsidR="006E529B" w:rsidP="00A25435" w:rsidRDefault="006E529B" w14:paraId="14776FF2" w14:textId="51B458ED">
            <w:pPr>
              <w:pStyle w:val="TableParagraph"/>
              <w:spacing w:before="0"/>
              <w:jc w:val="left"/>
              <w:rPr>
                <w:sz w:val="24"/>
                <w:szCs w:val="24"/>
              </w:rPr>
            </w:pPr>
          </w:p>
          <w:p w:rsidRPr="00A70107" w:rsidR="004048F8" w:rsidP="00A25435" w:rsidRDefault="004048F8" w14:paraId="53693874" w14:textId="437892EE">
            <w:pPr>
              <w:pStyle w:val="TableParagraph"/>
              <w:spacing w:before="0"/>
              <w:jc w:val="left"/>
              <w:rPr>
                <w:sz w:val="24"/>
                <w:szCs w:val="24"/>
              </w:rPr>
            </w:pPr>
          </w:p>
        </w:tc>
        <w:tc>
          <w:tcPr>
            <w:tcW w:w="9878" w:type="dxa"/>
          </w:tcPr>
          <w:tbl>
            <w:tblPr>
              <w:tblW w:w="8659" w:type="dxa"/>
              <w:tblLayout w:type="fixed"/>
              <w:tblLook w:val="04A0" w:firstRow="1" w:lastRow="0" w:firstColumn="1" w:lastColumn="0" w:noHBand="0" w:noVBand="1"/>
            </w:tblPr>
            <w:tblGrid>
              <w:gridCol w:w="4123"/>
              <w:gridCol w:w="1134"/>
              <w:gridCol w:w="1134"/>
              <w:gridCol w:w="1134"/>
              <w:gridCol w:w="1134"/>
            </w:tblGrid>
            <w:tr w:rsidRPr="00164F06" w:rsidR="009B3E2A" w:rsidTr="009B3E2A" w14:paraId="3E9DD469" w14:textId="77777777">
              <w:trPr>
                <w:trHeight w:val="300"/>
              </w:trPr>
              <w:tc>
                <w:tcPr>
                  <w:tcW w:w="4123"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164F06" w:rsidR="00164F06" w:rsidP="00164F06" w:rsidRDefault="00164F06" w14:paraId="280491EB" w14:textId="77777777">
                  <w:pPr>
                    <w:widowControl/>
                    <w:autoSpaceDE/>
                    <w:autoSpaceDN/>
                    <w:rPr>
                      <w:rFonts w:ascii="Calibri" w:hAnsi="Calibri" w:eastAsia="Times New Roman" w:cs="Calibri"/>
                      <w:b/>
                      <w:bCs/>
                      <w:color w:val="000000"/>
                      <w:lang w:val="en-GB" w:eastAsia="en-GB"/>
                    </w:rPr>
                  </w:pPr>
                  <w:r w:rsidRPr="00164F06">
                    <w:rPr>
                      <w:rFonts w:ascii="Calibri" w:hAnsi="Calibri" w:eastAsia="Times New Roman" w:cs="Calibri"/>
                      <w:b/>
                      <w:bCs/>
                      <w:color w:val="000000"/>
                      <w:lang w:val="en-GB" w:eastAsia="en-GB"/>
                    </w:rPr>
                    <w:t>Primary (including nursery) Income/Expenditure</w:t>
                  </w:r>
                </w:p>
              </w:tc>
              <w:tc>
                <w:tcPr>
                  <w:tcW w:w="1134" w:type="dxa"/>
                  <w:tcBorders>
                    <w:top w:val="single" w:color="auto" w:sz="4" w:space="0"/>
                    <w:left w:val="nil"/>
                    <w:bottom w:val="single" w:color="auto" w:sz="4" w:space="0"/>
                    <w:right w:val="single" w:color="auto" w:sz="4" w:space="0"/>
                  </w:tcBorders>
                  <w:shd w:val="clear" w:color="000000" w:fill="D9D9D9"/>
                  <w:noWrap/>
                  <w:vAlign w:val="bottom"/>
                  <w:hideMark/>
                </w:tcPr>
                <w:p w:rsidRPr="00164F06" w:rsidR="00164F06" w:rsidP="00164F06" w:rsidRDefault="00164F06" w14:paraId="525EB66B" w14:textId="77777777">
                  <w:pPr>
                    <w:widowControl/>
                    <w:autoSpaceDE/>
                    <w:autoSpaceDN/>
                    <w:jc w:val="center"/>
                    <w:rPr>
                      <w:rFonts w:ascii="Calibri" w:hAnsi="Calibri" w:eastAsia="Times New Roman" w:cs="Calibri"/>
                      <w:b/>
                      <w:bCs/>
                      <w:color w:val="000000"/>
                      <w:lang w:val="en-GB" w:eastAsia="en-GB"/>
                    </w:rPr>
                  </w:pPr>
                  <w:r w:rsidRPr="00164F06">
                    <w:rPr>
                      <w:rFonts w:ascii="Calibri" w:hAnsi="Calibri" w:eastAsia="Times New Roman" w:cs="Calibri"/>
                      <w:b/>
                      <w:bCs/>
                      <w:color w:val="000000"/>
                      <w:lang w:val="en-GB" w:eastAsia="en-GB"/>
                    </w:rPr>
                    <w:t>2020/21</w:t>
                  </w:r>
                </w:p>
              </w:tc>
              <w:tc>
                <w:tcPr>
                  <w:tcW w:w="1134" w:type="dxa"/>
                  <w:tcBorders>
                    <w:top w:val="single" w:color="auto" w:sz="4" w:space="0"/>
                    <w:left w:val="nil"/>
                    <w:bottom w:val="single" w:color="auto" w:sz="4" w:space="0"/>
                    <w:right w:val="single" w:color="auto" w:sz="4" w:space="0"/>
                  </w:tcBorders>
                  <w:shd w:val="clear" w:color="000000" w:fill="D9D9D9"/>
                  <w:noWrap/>
                  <w:vAlign w:val="bottom"/>
                  <w:hideMark/>
                </w:tcPr>
                <w:p w:rsidRPr="00164F06" w:rsidR="00164F06" w:rsidP="00164F06" w:rsidRDefault="00164F06" w14:paraId="1688FCBE" w14:textId="77777777">
                  <w:pPr>
                    <w:widowControl/>
                    <w:autoSpaceDE/>
                    <w:autoSpaceDN/>
                    <w:jc w:val="center"/>
                    <w:rPr>
                      <w:rFonts w:ascii="Calibri" w:hAnsi="Calibri" w:eastAsia="Times New Roman" w:cs="Calibri"/>
                      <w:b/>
                      <w:bCs/>
                      <w:color w:val="000000"/>
                      <w:lang w:val="en-GB" w:eastAsia="en-GB"/>
                    </w:rPr>
                  </w:pPr>
                  <w:r w:rsidRPr="00164F06">
                    <w:rPr>
                      <w:rFonts w:ascii="Calibri" w:hAnsi="Calibri" w:eastAsia="Times New Roman" w:cs="Calibri"/>
                      <w:b/>
                      <w:bCs/>
                      <w:color w:val="000000"/>
                      <w:lang w:val="en-GB" w:eastAsia="en-GB"/>
                    </w:rPr>
                    <w:t>2021/22</w:t>
                  </w:r>
                </w:p>
              </w:tc>
              <w:tc>
                <w:tcPr>
                  <w:tcW w:w="1134" w:type="dxa"/>
                  <w:tcBorders>
                    <w:top w:val="single" w:color="auto" w:sz="4" w:space="0"/>
                    <w:left w:val="nil"/>
                    <w:bottom w:val="single" w:color="auto" w:sz="4" w:space="0"/>
                    <w:right w:val="single" w:color="auto" w:sz="4" w:space="0"/>
                  </w:tcBorders>
                  <w:shd w:val="clear" w:color="000000" w:fill="D9D9D9"/>
                  <w:noWrap/>
                  <w:vAlign w:val="bottom"/>
                  <w:hideMark/>
                </w:tcPr>
                <w:p w:rsidRPr="00164F06" w:rsidR="00164F06" w:rsidP="00164F06" w:rsidRDefault="00164F06" w14:paraId="2054BEA5" w14:textId="77777777">
                  <w:pPr>
                    <w:widowControl/>
                    <w:autoSpaceDE/>
                    <w:autoSpaceDN/>
                    <w:jc w:val="center"/>
                    <w:rPr>
                      <w:rFonts w:ascii="Calibri" w:hAnsi="Calibri" w:eastAsia="Times New Roman" w:cs="Calibri"/>
                      <w:b/>
                      <w:bCs/>
                      <w:color w:val="000000"/>
                      <w:lang w:val="en-GB" w:eastAsia="en-GB"/>
                    </w:rPr>
                  </w:pPr>
                  <w:r w:rsidRPr="00164F06">
                    <w:rPr>
                      <w:rFonts w:ascii="Calibri" w:hAnsi="Calibri" w:eastAsia="Times New Roman" w:cs="Calibri"/>
                      <w:b/>
                      <w:bCs/>
                      <w:color w:val="000000"/>
                      <w:lang w:val="en-GB" w:eastAsia="en-GB"/>
                    </w:rPr>
                    <w:t>Change</w:t>
                  </w:r>
                </w:p>
              </w:tc>
              <w:tc>
                <w:tcPr>
                  <w:tcW w:w="1134" w:type="dxa"/>
                  <w:tcBorders>
                    <w:top w:val="single" w:color="auto" w:sz="4" w:space="0"/>
                    <w:left w:val="nil"/>
                    <w:bottom w:val="single" w:color="auto" w:sz="4" w:space="0"/>
                    <w:right w:val="single" w:color="auto" w:sz="4" w:space="0"/>
                  </w:tcBorders>
                  <w:shd w:val="clear" w:color="000000" w:fill="D9D9D9"/>
                  <w:noWrap/>
                  <w:vAlign w:val="bottom"/>
                  <w:hideMark/>
                </w:tcPr>
                <w:p w:rsidRPr="00164F06" w:rsidR="00164F06" w:rsidP="00164F06" w:rsidRDefault="00164F06" w14:paraId="6E228D91" w14:textId="5EB63650">
                  <w:pPr>
                    <w:widowControl/>
                    <w:autoSpaceDE/>
                    <w:autoSpaceDN/>
                    <w:jc w:val="center"/>
                    <w:rPr>
                      <w:rFonts w:ascii="Calibri" w:hAnsi="Calibri" w:eastAsia="Times New Roman" w:cs="Calibri"/>
                      <w:b/>
                      <w:bCs/>
                      <w:color w:val="000000"/>
                      <w:lang w:val="en-GB" w:eastAsia="en-GB"/>
                    </w:rPr>
                  </w:pPr>
                  <w:r w:rsidRPr="00164F06">
                    <w:rPr>
                      <w:rFonts w:ascii="Calibri" w:hAnsi="Calibri" w:eastAsia="Times New Roman" w:cs="Calibri"/>
                      <w:b/>
                      <w:bCs/>
                      <w:color w:val="000000"/>
                      <w:lang w:val="en-GB" w:eastAsia="en-GB"/>
                    </w:rPr>
                    <w:t>%</w:t>
                  </w:r>
                  <w:r>
                    <w:rPr>
                      <w:rFonts w:ascii="Calibri" w:hAnsi="Calibri" w:eastAsia="Times New Roman" w:cs="Calibri"/>
                      <w:b/>
                      <w:bCs/>
                      <w:color w:val="000000"/>
                      <w:lang w:val="en-GB" w:eastAsia="en-GB"/>
                    </w:rPr>
                    <w:t xml:space="preserve"> </w:t>
                  </w:r>
                  <w:r w:rsidRPr="00164F06">
                    <w:rPr>
                      <w:rFonts w:ascii="Calibri" w:hAnsi="Calibri" w:eastAsia="Times New Roman" w:cs="Calibri"/>
                      <w:b/>
                      <w:bCs/>
                      <w:color w:val="000000"/>
                      <w:lang w:val="en-GB" w:eastAsia="en-GB"/>
                    </w:rPr>
                    <w:t>Change</w:t>
                  </w:r>
                </w:p>
              </w:tc>
            </w:tr>
            <w:tr w:rsidRPr="00164F06" w:rsidR="00164F06" w:rsidTr="009B3E2A" w14:paraId="79A6AB53" w14:textId="77777777">
              <w:trPr>
                <w:trHeight w:val="300"/>
              </w:trPr>
              <w:tc>
                <w:tcPr>
                  <w:tcW w:w="4123" w:type="dxa"/>
                  <w:tcBorders>
                    <w:top w:val="nil"/>
                    <w:left w:val="single" w:color="auto" w:sz="4" w:space="0"/>
                    <w:bottom w:val="single" w:color="auto" w:sz="4" w:space="0"/>
                    <w:right w:val="single" w:color="auto" w:sz="4" w:space="0"/>
                  </w:tcBorders>
                  <w:shd w:val="clear" w:color="auto" w:fill="auto"/>
                  <w:noWrap/>
                  <w:vAlign w:val="bottom"/>
                  <w:hideMark/>
                </w:tcPr>
                <w:p w:rsidRPr="00164F06" w:rsidR="00164F06" w:rsidP="00164F06" w:rsidRDefault="00164F06" w14:paraId="47EA86CD"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 xml:space="preserve">Schools Block &amp; 6th form funding per pupil </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0B424B54"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6,456.58</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09509BBA"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6,550.04</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7472E99C"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 xml:space="preserve">        93.46 </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77790AF7"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1%</w:t>
                  </w:r>
                </w:p>
              </w:tc>
            </w:tr>
            <w:tr w:rsidRPr="00164F06" w:rsidR="00164F06" w:rsidTr="009B3E2A" w14:paraId="09F391FC" w14:textId="77777777">
              <w:trPr>
                <w:trHeight w:val="300"/>
              </w:trPr>
              <w:tc>
                <w:tcPr>
                  <w:tcW w:w="4123" w:type="dxa"/>
                  <w:tcBorders>
                    <w:top w:val="nil"/>
                    <w:left w:val="single" w:color="auto" w:sz="4" w:space="0"/>
                    <w:bottom w:val="single" w:color="auto" w:sz="4" w:space="0"/>
                    <w:right w:val="single" w:color="auto" w:sz="4" w:space="0"/>
                  </w:tcBorders>
                  <w:shd w:val="clear" w:color="auto" w:fill="auto"/>
                  <w:noWrap/>
                  <w:vAlign w:val="bottom"/>
                  <w:hideMark/>
                </w:tcPr>
                <w:p w:rsidRPr="00164F06" w:rsidR="00164F06" w:rsidP="00164F06" w:rsidRDefault="00164F06" w14:paraId="0A078A43"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Grant Funding per pupil</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5E4FF099"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714.68</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3BCE09A1"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758.47</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6A543C7A"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 xml:space="preserve">        43.79 </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3CA1101A"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6%</w:t>
                  </w:r>
                </w:p>
              </w:tc>
            </w:tr>
            <w:tr w:rsidRPr="00164F06" w:rsidR="00164F06" w:rsidTr="009B3E2A" w14:paraId="74DF5BEF" w14:textId="77777777">
              <w:trPr>
                <w:trHeight w:val="300"/>
              </w:trPr>
              <w:tc>
                <w:tcPr>
                  <w:tcW w:w="4123" w:type="dxa"/>
                  <w:tcBorders>
                    <w:top w:val="nil"/>
                    <w:left w:val="single" w:color="auto" w:sz="4" w:space="0"/>
                    <w:bottom w:val="single" w:color="auto" w:sz="4" w:space="0"/>
                    <w:right w:val="single" w:color="auto" w:sz="4" w:space="0"/>
                  </w:tcBorders>
                  <w:shd w:val="clear" w:color="auto" w:fill="auto"/>
                  <w:noWrap/>
                  <w:vAlign w:val="bottom"/>
                  <w:hideMark/>
                </w:tcPr>
                <w:p w:rsidRPr="00164F06" w:rsidR="00164F06" w:rsidP="00164F06" w:rsidRDefault="00164F06" w14:paraId="60343089"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 </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4D36D641"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 </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4BC65753"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 </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1310F195"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 </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0C10A039"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 </w:t>
                  </w:r>
                </w:p>
              </w:tc>
            </w:tr>
            <w:tr w:rsidRPr="00164F06" w:rsidR="00164F06" w:rsidTr="009B3E2A" w14:paraId="0825E635" w14:textId="77777777">
              <w:trPr>
                <w:trHeight w:val="300"/>
              </w:trPr>
              <w:tc>
                <w:tcPr>
                  <w:tcW w:w="4123" w:type="dxa"/>
                  <w:tcBorders>
                    <w:top w:val="nil"/>
                    <w:left w:val="single" w:color="auto" w:sz="4" w:space="0"/>
                    <w:bottom w:val="single" w:color="auto" w:sz="4" w:space="0"/>
                    <w:right w:val="single" w:color="auto" w:sz="4" w:space="0"/>
                  </w:tcBorders>
                  <w:shd w:val="clear" w:color="auto" w:fill="auto"/>
                  <w:noWrap/>
                  <w:vAlign w:val="bottom"/>
                  <w:hideMark/>
                </w:tcPr>
                <w:p w:rsidRPr="00164F06" w:rsidR="00164F06" w:rsidP="00164F06" w:rsidRDefault="00164F06" w14:paraId="37D6C6A0"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Teacher costs per pupil</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458ECA0E"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3,397.96</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11EA6470"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3,619.30</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681BDEFF"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 xml:space="preserve">     221.34 </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1046D354"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7%</w:t>
                  </w:r>
                </w:p>
              </w:tc>
            </w:tr>
            <w:tr w:rsidRPr="00164F06" w:rsidR="00164F06" w:rsidTr="009B3E2A" w14:paraId="2B9FDACF" w14:textId="77777777">
              <w:trPr>
                <w:trHeight w:val="300"/>
              </w:trPr>
              <w:tc>
                <w:tcPr>
                  <w:tcW w:w="4123" w:type="dxa"/>
                  <w:tcBorders>
                    <w:top w:val="nil"/>
                    <w:left w:val="single" w:color="auto" w:sz="4" w:space="0"/>
                    <w:bottom w:val="single" w:color="auto" w:sz="4" w:space="0"/>
                    <w:right w:val="single" w:color="auto" w:sz="4" w:space="0"/>
                  </w:tcBorders>
                  <w:shd w:val="clear" w:color="auto" w:fill="auto"/>
                  <w:noWrap/>
                  <w:vAlign w:val="bottom"/>
                  <w:hideMark/>
                </w:tcPr>
                <w:p w:rsidRPr="00164F06" w:rsidR="00164F06" w:rsidP="00164F06" w:rsidRDefault="00164F06" w14:paraId="30FD2492"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Education support staff costs per pupil</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7A70BA0B"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1,646.71</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519E435D"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1,684.31</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3F8B1AEE"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 xml:space="preserve">        37.60 </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5694F5A0"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2%</w:t>
                  </w:r>
                </w:p>
              </w:tc>
            </w:tr>
            <w:tr w:rsidRPr="00164F06" w:rsidR="00164F06" w:rsidTr="009B3E2A" w14:paraId="441D106A" w14:textId="77777777">
              <w:trPr>
                <w:trHeight w:val="300"/>
              </w:trPr>
              <w:tc>
                <w:tcPr>
                  <w:tcW w:w="4123" w:type="dxa"/>
                  <w:tcBorders>
                    <w:top w:val="nil"/>
                    <w:left w:val="single" w:color="auto" w:sz="4" w:space="0"/>
                    <w:bottom w:val="single" w:color="auto" w:sz="4" w:space="0"/>
                    <w:right w:val="single" w:color="auto" w:sz="4" w:space="0"/>
                  </w:tcBorders>
                  <w:shd w:val="clear" w:color="auto" w:fill="auto"/>
                  <w:noWrap/>
                  <w:vAlign w:val="bottom"/>
                  <w:hideMark/>
                </w:tcPr>
                <w:p w:rsidRPr="00164F06" w:rsidR="00164F06" w:rsidP="00164F06" w:rsidRDefault="00164F06" w14:paraId="2E9A0F51"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 xml:space="preserve">Other staff costs per pupil </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674A6147"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816.27</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2B82CC3E"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849.90</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53E22C22"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 xml:space="preserve">        33.62 </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26C3E460"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4%</w:t>
                  </w:r>
                </w:p>
              </w:tc>
            </w:tr>
            <w:tr w:rsidRPr="00164F06" w:rsidR="00164F06" w:rsidTr="009B3E2A" w14:paraId="06FE59A7" w14:textId="77777777">
              <w:trPr>
                <w:trHeight w:val="300"/>
              </w:trPr>
              <w:tc>
                <w:tcPr>
                  <w:tcW w:w="4123" w:type="dxa"/>
                  <w:tcBorders>
                    <w:top w:val="nil"/>
                    <w:left w:val="single" w:color="auto" w:sz="4" w:space="0"/>
                    <w:bottom w:val="single" w:color="auto" w:sz="4" w:space="0"/>
                    <w:right w:val="single" w:color="auto" w:sz="4" w:space="0"/>
                  </w:tcBorders>
                  <w:shd w:val="clear" w:color="auto" w:fill="auto"/>
                  <w:noWrap/>
                  <w:vAlign w:val="bottom"/>
                  <w:hideMark/>
                </w:tcPr>
                <w:p w:rsidRPr="00164F06" w:rsidR="00164F06" w:rsidP="00164F06" w:rsidRDefault="00164F06" w14:paraId="2A0B8EAC"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Learning resources costs per pupil</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186D1FFF"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253.06</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2D71465D"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368.65</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6DA5379F"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 xml:space="preserve">     115.59 </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7653C6CB"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46%</w:t>
                  </w:r>
                </w:p>
              </w:tc>
            </w:tr>
            <w:tr w:rsidRPr="00164F06" w:rsidR="00164F06" w:rsidTr="009B3E2A" w14:paraId="3F118344" w14:textId="77777777">
              <w:trPr>
                <w:trHeight w:val="300"/>
              </w:trPr>
              <w:tc>
                <w:tcPr>
                  <w:tcW w:w="4123" w:type="dxa"/>
                  <w:tcBorders>
                    <w:top w:val="nil"/>
                    <w:left w:val="single" w:color="auto" w:sz="4" w:space="0"/>
                    <w:bottom w:val="nil"/>
                    <w:right w:val="single" w:color="auto" w:sz="4" w:space="0"/>
                  </w:tcBorders>
                  <w:shd w:val="clear" w:color="auto" w:fill="auto"/>
                  <w:noWrap/>
                  <w:vAlign w:val="bottom"/>
                  <w:hideMark/>
                </w:tcPr>
                <w:p w:rsidRPr="00164F06" w:rsidR="00164F06" w:rsidP="00164F06" w:rsidRDefault="00164F06" w14:paraId="66C2118A"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Energy costs per pupil</w:t>
                  </w:r>
                </w:p>
              </w:tc>
              <w:tc>
                <w:tcPr>
                  <w:tcW w:w="1134" w:type="dxa"/>
                  <w:tcBorders>
                    <w:top w:val="nil"/>
                    <w:left w:val="nil"/>
                    <w:bottom w:val="nil"/>
                    <w:right w:val="single" w:color="auto" w:sz="4" w:space="0"/>
                  </w:tcBorders>
                  <w:shd w:val="clear" w:color="auto" w:fill="auto"/>
                  <w:noWrap/>
                  <w:vAlign w:val="bottom"/>
                  <w:hideMark/>
                </w:tcPr>
                <w:p w:rsidRPr="00164F06" w:rsidR="00164F06" w:rsidP="00164F06" w:rsidRDefault="00164F06" w14:paraId="3E27CBFA"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84.24</w:t>
                  </w:r>
                </w:p>
              </w:tc>
              <w:tc>
                <w:tcPr>
                  <w:tcW w:w="1134" w:type="dxa"/>
                  <w:tcBorders>
                    <w:top w:val="nil"/>
                    <w:left w:val="nil"/>
                    <w:bottom w:val="nil"/>
                    <w:right w:val="single" w:color="auto" w:sz="4" w:space="0"/>
                  </w:tcBorders>
                  <w:shd w:val="clear" w:color="auto" w:fill="auto"/>
                  <w:noWrap/>
                  <w:vAlign w:val="bottom"/>
                  <w:hideMark/>
                </w:tcPr>
                <w:p w:rsidRPr="00164F06" w:rsidR="00164F06" w:rsidP="00164F06" w:rsidRDefault="00164F06" w14:paraId="17C8FE6E"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94.53</w:t>
                  </w:r>
                </w:p>
              </w:tc>
              <w:tc>
                <w:tcPr>
                  <w:tcW w:w="1134" w:type="dxa"/>
                  <w:tcBorders>
                    <w:top w:val="nil"/>
                    <w:left w:val="nil"/>
                    <w:bottom w:val="nil"/>
                    <w:right w:val="single" w:color="auto" w:sz="4" w:space="0"/>
                  </w:tcBorders>
                  <w:shd w:val="clear" w:color="auto" w:fill="auto"/>
                  <w:noWrap/>
                  <w:vAlign w:val="bottom"/>
                  <w:hideMark/>
                </w:tcPr>
                <w:p w:rsidRPr="00164F06" w:rsidR="00164F06" w:rsidP="00164F06" w:rsidRDefault="00164F06" w14:paraId="14D575D0"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 xml:space="preserve">        10.28 </w:t>
                  </w:r>
                </w:p>
              </w:tc>
              <w:tc>
                <w:tcPr>
                  <w:tcW w:w="1134" w:type="dxa"/>
                  <w:tcBorders>
                    <w:top w:val="nil"/>
                    <w:left w:val="nil"/>
                    <w:bottom w:val="nil"/>
                    <w:right w:val="single" w:color="auto" w:sz="4" w:space="0"/>
                  </w:tcBorders>
                  <w:shd w:val="clear" w:color="auto" w:fill="auto"/>
                  <w:noWrap/>
                  <w:vAlign w:val="bottom"/>
                  <w:hideMark/>
                </w:tcPr>
                <w:p w:rsidRPr="00164F06" w:rsidR="00164F06" w:rsidP="00164F06" w:rsidRDefault="00164F06" w14:paraId="5C157AB6"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12%</w:t>
                  </w:r>
                </w:p>
              </w:tc>
            </w:tr>
            <w:tr w:rsidRPr="00164F06" w:rsidR="009B3E2A" w:rsidTr="009B3E2A" w14:paraId="36496C0B" w14:textId="77777777">
              <w:trPr>
                <w:trHeight w:val="300"/>
              </w:trPr>
              <w:tc>
                <w:tcPr>
                  <w:tcW w:w="4123" w:type="dxa"/>
                  <w:tcBorders>
                    <w:top w:val="nil"/>
                    <w:left w:val="single" w:color="auto" w:sz="4" w:space="0"/>
                    <w:bottom w:val="single" w:color="auto" w:sz="4" w:space="0"/>
                    <w:right w:val="single" w:color="auto" w:sz="4" w:space="0"/>
                  </w:tcBorders>
                  <w:shd w:val="clear" w:color="auto" w:fill="auto"/>
                  <w:noWrap/>
                  <w:vAlign w:val="bottom"/>
                </w:tcPr>
                <w:p w:rsidRPr="00164F06" w:rsidR="009B3E2A" w:rsidP="00164F06" w:rsidRDefault="009B3E2A" w14:paraId="20DC7414" w14:textId="77777777">
                  <w:pPr>
                    <w:widowControl/>
                    <w:autoSpaceDE/>
                    <w:autoSpaceDN/>
                    <w:rPr>
                      <w:rFonts w:ascii="Calibri" w:hAnsi="Calibri" w:eastAsia="Times New Roman" w:cs="Calibri"/>
                      <w:color w:val="000000"/>
                      <w:lang w:val="en-GB" w:eastAsia="en-GB"/>
                    </w:rPr>
                  </w:pPr>
                </w:p>
              </w:tc>
              <w:tc>
                <w:tcPr>
                  <w:tcW w:w="1134" w:type="dxa"/>
                  <w:tcBorders>
                    <w:top w:val="nil"/>
                    <w:left w:val="nil"/>
                    <w:bottom w:val="single" w:color="auto" w:sz="4" w:space="0"/>
                    <w:right w:val="single" w:color="auto" w:sz="4" w:space="0"/>
                  </w:tcBorders>
                  <w:shd w:val="clear" w:color="auto" w:fill="auto"/>
                  <w:noWrap/>
                  <w:vAlign w:val="bottom"/>
                </w:tcPr>
                <w:p w:rsidRPr="00164F06" w:rsidR="009B3E2A" w:rsidP="00164F06" w:rsidRDefault="009B3E2A" w14:paraId="445DE6A0" w14:textId="77777777">
                  <w:pPr>
                    <w:widowControl/>
                    <w:autoSpaceDE/>
                    <w:autoSpaceDN/>
                    <w:jc w:val="right"/>
                    <w:rPr>
                      <w:rFonts w:ascii="Calibri" w:hAnsi="Calibri" w:eastAsia="Times New Roman" w:cs="Calibri"/>
                      <w:color w:val="000000"/>
                      <w:lang w:val="en-GB" w:eastAsia="en-GB"/>
                    </w:rPr>
                  </w:pPr>
                </w:p>
              </w:tc>
              <w:tc>
                <w:tcPr>
                  <w:tcW w:w="1134" w:type="dxa"/>
                  <w:tcBorders>
                    <w:top w:val="nil"/>
                    <w:left w:val="nil"/>
                    <w:bottom w:val="single" w:color="auto" w:sz="4" w:space="0"/>
                    <w:right w:val="single" w:color="auto" w:sz="4" w:space="0"/>
                  </w:tcBorders>
                  <w:shd w:val="clear" w:color="auto" w:fill="auto"/>
                  <w:noWrap/>
                  <w:vAlign w:val="bottom"/>
                </w:tcPr>
                <w:p w:rsidRPr="00164F06" w:rsidR="009B3E2A" w:rsidP="00164F06" w:rsidRDefault="009B3E2A" w14:paraId="61656D47" w14:textId="77777777">
                  <w:pPr>
                    <w:widowControl/>
                    <w:autoSpaceDE/>
                    <w:autoSpaceDN/>
                    <w:jc w:val="right"/>
                    <w:rPr>
                      <w:rFonts w:ascii="Calibri" w:hAnsi="Calibri" w:eastAsia="Times New Roman" w:cs="Calibri"/>
                      <w:color w:val="000000"/>
                      <w:lang w:val="en-GB" w:eastAsia="en-GB"/>
                    </w:rPr>
                  </w:pPr>
                </w:p>
              </w:tc>
              <w:tc>
                <w:tcPr>
                  <w:tcW w:w="1134" w:type="dxa"/>
                  <w:tcBorders>
                    <w:top w:val="nil"/>
                    <w:left w:val="nil"/>
                    <w:bottom w:val="single" w:color="auto" w:sz="4" w:space="0"/>
                    <w:right w:val="single" w:color="auto" w:sz="4" w:space="0"/>
                  </w:tcBorders>
                  <w:shd w:val="clear" w:color="auto" w:fill="auto"/>
                  <w:noWrap/>
                  <w:vAlign w:val="bottom"/>
                </w:tcPr>
                <w:p w:rsidRPr="00164F06" w:rsidR="009B3E2A" w:rsidP="00164F06" w:rsidRDefault="009B3E2A" w14:paraId="0B1E1EE1" w14:textId="77777777">
                  <w:pPr>
                    <w:widowControl/>
                    <w:autoSpaceDE/>
                    <w:autoSpaceDN/>
                    <w:rPr>
                      <w:rFonts w:ascii="Calibri" w:hAnsi="Calibri" w:eastAsia="Times New Roman" w:cs="Calibri"/>
                      <w:color w:val="000000"/>
                      <w:lang w:val="en-GB" w:eastAsia="en-GB"/>
                    </w:rPr>
                  </w:pPr>
                </w:p>
              </w:tc>
              <w:tc>
                <w:tcPr>
                  <w:tcW w:w="1134" w:type="dxa"/>
                  <w:tcBorders>
                    <w:top w:val="nil"/>
                    <w:left w:val="nil"/>
                    <w:bottom w:val="single" w:color="auto" w:sz="4" w:space="0"/>
                    <w:right w:val="single" w:color="auto" w:sz="4" w:space="0"/>
                  </w:tcBorders>
                  <w:shd w:val="clear" w:color="auto" w:fill="auto"/>
                  <w:noWrap/>
                  <w:vAlign w:val="bottom"/>
                </w:tcPr>
                <w:p w:rsidRPr="00164F06" w:rsidR="009B3E2A" w:rsidP="00164F06" w:rsidRDefault="009B3E2A" w14:paraId="1D93484D" w14:textId="77777777">
                  <w:pPr>
                    <w:widowControl/>
                    <w:autoSpaceDE/>
                    <w:autoSpaceDN/>
                    <w:jc w:val="right"/>
                    <w:rPr>
                      <w:rFonts w:ascii="Calibri" w:hAnsi="Calibri" w:eastAsia="Times New Roman" w:cs="Calibri"/>
                      <w:color w:val="000000"/>
                      <w:lang w:val="en-GB" w:eastAsia="en-GB"/>
                    </w:rPr>
                  </w:pPr>
                </w:p>
              </w:tc>
            </w:tr>
          </w:tbl>
          <w:p w:rsidR="00C94232" w:rsidP="005A1E28" w:rsidRDefault="00C94232" w14:paraId="39B302F1" w14:textId="489351FE">
            <w:pPr>
              <w:pStyle w:val="TableParagraph"/>
              <w:spacing w:before="0"/>
              <w:jc w:val="left"/>
              <w:rPr>
                <w:sz w:val="24"/>
                <w:szCs w:val="24"/>
              </w:rPr>
            </w:pPr>
          </w:p>
          <w:tbl>
            <w:tblPr>
              <w:tblW w:w="8659" w:type="dxa"/>
              <w:tblLayout w:type="fixed"/>
              <w:tblLook w:val="04A0" w:firstRow="1" w:lastRow="0" w:firstColumn="1" w:lastColumn="0" w:noHBand="0" w:noVBand="1"/>
            </w:tblPr>
            <w:tblGrid>
              <w:gridCol w:w="4123"/>
              <w:gridCol w:w="1134"/>
              <w:gridCol w:w="1134"/>
              <w:gridCol w:w="1134"/>
              <w:gridCol w:w="1134"/>
            </w:tblGrid>
            <w:tr w:rsidRPr="00164F06" w:rsidR="00164F06" w:rsidTr="009B3E2A" w14:paraId="4D4B4ECC" w14:textId="77777777">
              <w:trPr>
                <w:trHeight w:val="300"/>
              </w:trPr>
              <w:tc>
                <w:tcPr>
                  <w:tcW w:w="4123"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164F06" w:rsidR="00164F06" w:rsidP="00164F06" w:rsidRDefault="00164F06" w14:paraId="4124ACF9" w14:textId="77777777">
                  <w:pPr>
                    <w:widowControl/>
                    <w:autoSpaceDE/>
                    <w:autoSpaceDN/>
                    <w:rPr>
                      <w:rFonts w:ascii="Calibri" w:hAnsi="Calibri" w:eastAsia="Times New Roman" w:cs="Calibri"/>
                      <w:b/>
                      <w:bCs/>
                      <w:color w:val="000000"/>
                      <w:lang w:val="en-GB" w:eastAsia="en-GB"/>
                    </w:rPr>
                  </w:pPr>
                  <w:r w:rsidRPr="00164F06">
                    <w:rPr>
                      <w:rFonts w:ascii="Calibri" w:hAnsi="Calibri" w:eastAsia="Times New Roman" w:cs="Calibri"/>
                      <w:b/>
                      <w:bCs/>
                      <w:color w:val="000000"/>
                      <w:lang w:val="en-GB" w:eastAsia="en-GB"/>
                    </w:rPr>
                    <w:t>Secondary Income/Expenditure</w:t>
                  </w:r>
                </w:p>
              </w:tc>
              <w:tc>
                <w:tcPr>
                  <w:tcW w:w="1134" w:type="dxa"/>
                  <w:tcBorders>
                    <w:top w:val="single" w:color="auto" w:sz="4" w:space="0"/>
                    <w:left w:val="nil"/>
                    <w:bottom w:val="single" w:color="auto" w:sz="4" w:space="0"/>
                    <w:right w:val="single" w:color="auto" w:sz="4" w:space="0"/>
                  </w:tcBorders>
                  <w:shd w:val="clear" w:color="000000" w:fill="D9D9D9"/>
                  <w:noWrap/>
                  <w:vAlign w:val="bottom"/>
                  <w:hideMark/>
                </w:tcPr>
                <w:p w:rsidRPr="00164F06" w:rsidR="00164F06" w:rsidP="00164F06" w:rsidRDefault="00164F06" w14:paraId="370CB38F" w14:textId="77777777">
                  <w:pPr>
                    <w:widowControl/>
                    <w:autoSpaceDE/>
                    <w:autoSpaceDN/>
                    <w:jc w:val="center"/>
                    <w:rPr>
                      <w:rFonts w:ascii="Calibri" w:hAnsi="Calibri" w:eastAsia="Times New Roman" w:cs="Calibri"/>
                      <w:b/>
                      <w:bCs/>
                      <w:color w:val="000000"/>
                      <w:lang w:val="en-GB" w:eastAsia="en-GB"/>
                    </w:rPr>
                  </w:pPr>
                  <w:r w:rsidRPr="00164F06">
                    <w:rPr>
                      <w:rFonts w:ascii="Calibri" w:hAnsi="Calibri" w:eastAsia="Times New Roman" w:cs="Calibri"/>
                      <w:b/>
                      <w:bCs/>
                      <w:color w:val="000000"/>
                      <w:lang w:val="en-GB" w:eastAsia="en-GB"/>
                    </w:rPr>
                    <w:t>2020/21</w:t>
                  </w:r>
                </w:p>
              </w:tc>
              <w:tc>
                <w:tcPr>
                  <w:tcW w:w="1134" w:type="dxa"/>
                  <w:tcBorders>
                    <w:top w:val="single" w:color="auto" w:sz="4" w:space="0"/>
                    <w:left w:val="nil"/>
                    <w:bottom w:val="single" w:color="auto" w:sz="4" w:space="0"/>
                    <w:right w:val="single" w:color="auto" w:sz="4" w:space="0"/>
                  </w:tcBorders>
                  <w:shd w:val="clear" w:color="000000" w:fill="D9D9D9"/>
                  <w:noWrap/>
                  <w:vAlign w:val="bottom"/>
                  <w:hideMark/>
                </w:tcPr>
                <w:p w:rsidRPr="00164F06" w:rsidR="00164F06" w:rsidP="00164F06" w:rsidRDefault="00164F06" w14:paraId="7D514C63" w14:textId="77777777">
                  <w:pPr>
                    <w:widowControl/>
                    <w:autoSpaceDE/>
                    <w:autoSpaceDN/>
                    <w:jc w:val="center"/>
                    <w:rPr>
                      <w:rFonts w:ascii="Calibri" w:hAnsi="Calibri" w:eastAsia="Times New Roman" w:cs="Calibri"/>
                      <w:b/>
                      <w:bCs/>
                      <w:color w:val="000000"/>
                      <w:lang w:val="en-GB" w:eastAsia="en-GB"/>
                    </w:rPr>
                  </w:pPr>
                  <w:r w:rsidRPr="00164F06">
                    <w:rPr>
                      <w:rFonts w:ascii="Calibri" w:hAnsi="Calibri" w:eastAsia="Times New Roman" w:cs="Calibri"/>
                      <w:b/>
                      <w:bCs/>
                      <w:color w:val="000000"/>
                      <w:lang w:val="en-GB" w:eastAsia="en-GB"/>
                    </w:rPr>
                    <w:t>2021/22</w:t>
                  </w:r>
                </w:p>
              </w:tc>
              <w:tc>
                <w:tcPr>
                  <w:tcW w:w="1134" w:type="dxa"/>
                  <w:tcBorders>
                    <w:top w:val="single" w:color="auto" w:sz="4" w:space="0"/>
                    <w:left w:val="nil"/>
                    <w:bottom w:val="single" w:color="auto" w:sz="4" w:space="0"/>
                    <w:right w:val="single" w:color="auto" w:sz="4" w:space="0"/>
                  </w:tcBorders>
                  <w:shd w:val="clear" w:color="000000" w:fill="D9D9D9"/>
                  <w:noWrap/>
                  <w:vAlign w:val="bottom"/>
                  <w:hideMark/>
                </w:tcPr>
                <w:p w:rsidRPr="00164F06" w:rsidR="00164F06" w:rsidP="00164F06" w:rsidRDefault="00164F06" w14:paraId="32EC7132" w14:textId="77777777">
                  <w:pPr>
                    <w:widowControl/>
                    <w:autoSpaceDE/>
                    <w:autoSpaceDN/>
                    <w:jc w:val="center"/>
                    <w:rPr>
                      <w:rFonts w:ascii="Calibri" w:hAnsi="Calibri" w:eastAsia="Times New Roman" w:cs="Calibri"/>
                      <w:b/>
                      <w:bCs/>
                      <w:color w:val="000000"/>
                      <w:lang w:val="en-GB" w:eastAsia="en-GB"/>
                    </w:rPr>
                  </w:pPr>
                  <w:r w:rsidRPr="00164F06">
                    <w:rPr>
                      <w:rFonts w:ascii="Calibri" w:hAnsi="Calibri" w:eastAsia="Times New Roman" w:cs="Calibri"/>
                      <w:b/>
                      <w:bCs/>
                      <w:color w:val="000000"/>
                      <w:lang w:val="en-GB" w:eastAsia="en-GB"/>
                    </w:rPr>
                    <w:t>Change</w:t>
                  </w:r>
                </w:p>
              </w:tc>
              <w:tc>
                <w:tcPr>
                  <w:tcW w:w="1134" w:type="dxa"/>
                  <w:tcBorders>
                    <w:top w:val="single" w:color="auto" w:sz="4" w:space="0"/>
                    <w:left w:val="nil"/>
                    <w:bottom w:val="single" w:color="auto" w:sz="4" w:space="0"/>
                    <w:right w:val="single" w:color="auto" w:sz="4" w:space="0"/>
                  </w:tcBorders>
                  <w:shd w:val="clear" w:color="000000" w:fill="D9D9D9"/>
                  <w:noWrap/>
                  <w:vAlign w:val="bottom"/>
                  <w:hideMark/>
                </w:tcPr>
                <w:p w:rsidRPr="00164F06" w:rsidR="00164F06" w:rsidP="00164F06" w:rsidRDefault="00164F06" w14:paraId="33BF4F20" w14:textId="4EBC8A80">
                  <w:pPr>
                    <w:widowControl/>
                    <w:autoSpaceDE/>
                    <w:autoSpaceDN/>
                    <w:jc w:val="center"/>
                    <w:rPr>
                      <w:rFonts w:ascii="Calibri" w:hAnsi="Calibri" w:eastAsia="Times New Roman" w:cs="Calibri"/>
                      <w:b/>
                      <w:bCs/>
                      <w:color w:val="000000"/>
                      <w:lang w:val="en-GB" w:eastAsia="en-GB"/>
                    </w:rPr>
                  </w:pPr>
                  <w:r w:rsidRPr="00164F06">
                    <w:rPr>
                      <w:rFonts w:ascii="Calibri" w:hAnsi="Calibri" w:eastAsia="Times New Roman" w:cs="Calibri"/>
                      <w:b/>
                      <w:bCs/>
                      <w:color w:val="000000"/>
                      <w:lang w:val="en-GB" w:eastAsia="en-GB"/>
                    </w:rPr>
                    <w:t>%</w:t>
                  </w:r>
                  <w:r w:rsidR="009B3E2A">
                    <w:rPr>
                      <w:rFonts w:ascii="Calibri" w:hAnsi="Calibri" w:eastAsia="Times New Roman" w:cs="Calibri"/>
                      <w:b/>
                      <w:bCs/>
                      <w:color w:val="000000"/>
                      <w:lang w:val="en-GB" w:eastAsia="en-GB"/>
                    </w:rPr>
                    <w:t xml:space="preserve"> </w:t>
                  </w:r>
                  <w:r w:rsidRPr="00164F06">
                    <w:rPr>
                      <w:rFonts w:ascii="Calibri" w:hAnsi="Calibri" w:eastAsia="Times New Roman" w:cs="Calibri"/>
                      <w:b/>
                      <w:bCs/>
                      <w:color w:val="000000"/>
                      <w:lang w:val="en-GB" w:eastAsia="en-GB"/>
                    </w:rPr>
                    <w:t>Change</w:t>
                  </w:r>
                </w:p>
              </w:tc>
            </w:tr>
            <w:tr w:rsidRPr="00164F06" w:rsidR="009B3E2A" w:rsidTr="009B3E2A" w14:paraId="346D87F1" w14:textId="77777777">
              <w:trPr>
                <w:trHeight w:val="300"/>
              </w:trPr>
              <w:tc>
                <w:tcPr>
                  <w:tcW w:w="4123" w:type="dxa"/>
                  <w:tcBorders>
                    <w:top w:val="nil"/>
                    <w:left w:val="single" w:color="auto" w:sz="4" w:space="0"/>
                    <w:bottom w:val="single" w:color="auto" w:sz="4" w:space="0"/>
                    <w:right w:val="single" w:color="auto" w:sz="4" w:space="0"/>
                  </w:tcBorders>
                  <w:shd w:val="clear" w:color="auto" w:fill="auto"/>
                  <w:noWrap/>
                  <w:vAlign w:val="bottom"/>
                  <w:hideMark/>
                </w:tcPr>
                <w:p w:rsidRPr="00164F06" w:rsidR="00164F06" w:rsidP="00164F06" w:rsidRDefault="00164F06" w14:paraId="5D1ACF95"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 xml:space="preserve">Schools Block &amp; 6th form funding per pupil </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689A8169"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6,389.71</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0A6383C5"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6,691.45</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26C2E240"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 xml:space="preserve">     301.74 </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1D6E883F"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5%</w:t>
                  </w:r>
                </w:p>
              </w:tc>
            </w:tr>
            <w:tr w:rsidRPr="00164F06" w:rsidR="009B3E2A" w:rsidTr="009B3E2A" w14:paraId="78D1D06D" w14:textId="77777777">
              <w:trPr>
                <w:trHeight w:val="300"/>
              </w:trPr>
              <w:tc>
                <w:tcPr>
                  <w:tcW w:w="4123" w:type="dxa"/>
                  <w:tcBorders>
                    <w:top w:val="nil"/>
                    <w:left w:val="single" w:color="auto" w:sz="4" w:space="0"/>
                    <w:bottom w:val="single" w:color="auto" w:sz="4" w:space="0"/>
                    <w:right w:val="single" w:color="auto" w:sz="4" w:space="0"/>
                  </w:tcBorders>
                  <w:shd w:val="clear" w:color="auto" w:fill="auto"/>
                  <w:noWrap/>
                  <w:vAlign w:val="bottom"/>
                  <w:hideMark/>
                </w:tcPr>
                <w:p w:rsidRPr="00164F06" w:rsidR="00164F06" w:rsidP="00164F06" w:rsidRDefault="00164F06" w14:paraId="69050516"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Grant Funding per pupil</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00A10359"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351.76</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3C0A2574"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429.48</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6C4BAEDA"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 xml:space="preserve">        77.72 </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2E7FD316"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22%</w:t>
                  </w:r>
                </w:p>
              </w:tc>
            </w:tr>
            <w:tr w:rsidRPr="00164F06" w:rsidR="009B3E2A" w:rsidTr="009B3E2A" w14:paraId="368BCF33" w14:textId="77777777">
              <w:trPr>
                <w:trHeight w:val="300"/>
              </w:trPr>
              <w:tc>
                <w:tcPr>
                  <w:tcW w:w="4123" w:type="dxa"/>
                  <w:tcBorders>
                    <w:top w:val="nil"/>
                    <w:left w:val="single" w:color="auto" w:sz="4" w:space="0"/>
                    <w:bottom w:val="single" w:color="auto" w:sz="4" w:space="0"/>
                    <w:right w:val="single" w:color="auto" w:sz="4" w:space="0"/>
                  </w:tcBorders>
                  <w:shd w:val="clear" w:color="auto" w:fill="auto"/>
                  <w:noWrap/>
                  <w:vAlign w:val="bottom"/>
                  <w:hideMark/>
                </w:tcPr>
                <w:p w:rsidRPr="00164F06" w:rsidR="00164F06" w:rsidP="00164F06" w:rsidRDefault="00164F06" w14:paraId="2435D2D8"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 </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3FE67C04"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 </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08306D3D"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 </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44DB7116"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 </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318E2E1D"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 </w:t>
                  </w:r>
                </w:p>
              </w:tc>
            </w:tr>
            <w:tr w:rsidRPr="00164F06" w:rsidR="009B3E2A" w:rsidTr="009B3E2A" w14:paraId="5AEE85DF" w14:textId="77777777">
              <w:trPr>
                <w:trHeight w:val="300"/>
              </w:trPr>
              <w:tc>
                <w:tcPr>
                  <w:tcW w:w="4123" w:type="dxa"/>
                  <w:tcBorders>
                    <w:top w:val="nil"/>
                    <w:left w:val="single" w:color="auto" w:sz="4" w:space="0"/>
                    <w:bottom w:val="single" w:color="auto" w:sz="4" w:space="0"/>
                    <w:right w:val="single" w:color="auto" w:sz="4" w:space="0"/>
                  </w:tcBorders>
                  <w:shd w:val="clear" w:color="auto" w:fill="auto"/>
                  <w:noWrap/>
                  <w:vAlign w:val="bottom"/>
                  <w:hideMark/>
                </w:tcPr>
                <w:p w:rsidRPr="00164F06" w:rsidR="00164F06" w:rsidP="00164F06" w:rsidRDefault="00164F06" w14:paraId="2C98A800"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Teacher costs per pupil</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7771E4FC"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3,619.01</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676A8158"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3,758.79</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7BF0F916"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 xml:space="preserve">     139.79 </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6690C550"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4%</w:t>
                  </w:r>
                </w:p>
              </w:tc>
            </w:tr>
            <w:tr w:rsidRPr="00164F06" w:rsidR="009B3E2A" w:rsidTr="009B3E2A" w14:paraId="20F8FB76" w14:textId="77777777">
              <w:trPr>
                <w:trHeight w:val="300"/>
              </w:trPr>
              <w:tc>
                <w:tcPr>
                  <w:tcW w:w="4123" w:type="dxa"/>
                  <w:tcBorders>
                    <w:top w:val="nil"/>
                    <w:left w:val="single" w:color="auto" w:sz="4" w:space="0"/>
                    <w:bottom w:val="single" w:color="auto" w:sz="4" w:space="0"/>
                    <w:right w:val="single" w:color="auto" w:sz="4" w:space="0"/>
                  </w:tcBorders>
                  <w:shd w:val="clear" w:color="auto" w:fill="auto"/>
                  <w:noWrap/>
                  <w:vAlign w:val="bottom"/>
                  <w:hideMark/>
                </w:tcPr>
                <w:p w:rsidRPr="00164F06" w:rsidR="00164F06" w:rsidP="00164F06" w:rsidRDefault="00164F06" w14:paraId="0B92A6DD"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Education support staff costs per pupil</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14182083"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876.97</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7CA40C37"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948.74</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3C7596E3"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 xml:space="preserve">        71.77 </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062A5484"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8%</w:t>
                  </w:r>
                </w:p>
              </w:tc>
            </w:tr>
            <w:tr w:rsidRPr="00164F06" w:rsidR="009B3E2A" w:rsidTr="009B3E2A" w14:paraId="02CDFBB2" w14:textId="77777777">
              <w:trPr>
                <w:trHeight w:val="300"/>
              </w:trPr>
              <w:tc>
                <w:tcPr>
                  <w:tcW w:w="4123" w:type="dxa"/>
                  <w:tcBorders>
                    <w:top w:val="nil"/>
                    <w:left w:val="single" w:color="auto" w:sz="4" w:space="0"/>
                    <w:bottom w:val="single" w:color="auto" w:sz="4" w:space="0"/>
                    <w:right w:val="single" w:color="auto" w:sz="4" w:space="0"/>
                  </w:tcBorders>
                  <w:shd w:val="clear" w:color="auto" w:fill="auto"/>
                  <w:noWrap/>
                  <w:vAlign w:val="bottom"/>
                  <w:hideMark/>
                </w:tcPr>
                <w:p w:rsidRPr="00164F06" w:rsidR="00164F06" w:rsidP="00164F06" w:rsidRDefault="00164F06" w14:paraId="0AD3977E"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 xml:space="preserve">Other staff costs per pupil </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72676408"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639.27</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03758E02"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707.03</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4FD58305"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 xml:space="preserve">        67.76 </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4D103BAB"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11%</w:t>
                  </w:r>
                </w:p>
              </w:tc>
            </w:tr>
            <w:tr w:rsidRPr="00164F06" w:rsidR="009B3E2A" w:rsidTr="009B3E2A" w14:paraId="75CC7D21" w14:textId="77777777">
              <w:trPr>
                <w:trHeight w:val="300"/>
              </w:trPr>
              <w:tc>
                <w:tcPr>
                  <w:tcW w:w="4123" w:type="dxa"/>
                  <w:tcBorders>
                    <w:top w:val="nil"/>
                    <w:left w:val="single" w:color="auto" w:sz="4" w:space="0"/>
                    <w:bottom w:val="single" w:color="auto" w:sz="4" w:space="0"/>
                    <w:right w:val="single" w:color="auto" w:sz="4" w:space="0"/>
                  </w:tcBorders>
                  <w:shd w:val="clear" w:color="auto" w:fill="auto"/>
                  <w:noWrap/>
                  <w:vAlign w:val="bottom"/>
                  <w:hideMark/>
                </w:tcPr>
                <w:p w:rsidRPr="00164F06" w:rsidR="00164F06" w:rsidP="00164F06" w:rsidRDefault="00164F06" w14:paraId="333D96B5"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Learning resources costs per pupil</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5CCB7CB0"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293.77</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057B621A"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359.28</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696F4414"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 xml:space="preserve">        65.51 </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6C939BCA"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22%</w:t>
                  </w:r>
                </w:p>
              </w:tc>
            </w:tr>
            <w:tr w:rsidRPr="00164F06" w:rsidR="009B3E2A" w:rsidTr="009B3E2A" w14:paraId="3A83D7BB" w14:textId="77777777">
              <w:trPr>
                <w:trHeight w:val="300"/>
              </w:trPr>
              <w:tc>
                <w:tcPr>
                  <w:tcW w:w="4123" w:type="dxa"/>
                  <w:tcBorders>
                    <w:top w:val="nil"/>
                    <w:left w:val="single" w:color="auto" w:sz="4" w:space="0"/>
                    <w:bottom w:val="single" w:color="auto" w:sz="4" w:space="0"/>
                    <w:right w:val="single" w:color="auto" w:sz="4" w:space="0"/>
                  </w:tcBorders>
                  <w:shd w:val="clear" w:color="auto" w:fill="auto"/>
                  <w:noWrap/>
                  <w:vAlign w:val="bottom"/>
                  <w:hideMark/>
                </w:tcPr>
                <w:p w:rsidRPr="00164F06" w:rsidR="00164F06" w:rsidP="00164F06" w:rsidRDefault="00164F06" w14:paraId="40E958CB"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Energy costs per pupil</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53003CAF"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39.82</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4B24F6B7"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53.26</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6419AEF5" w14:textId="77777777">
                  <w:pPr>
                    <w:widowControl/>
                    <w:autoSpaceDE/>
                    <w:autoSpaceDN/>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 xml:space="preserve">        13.44 </w:t>
                  </w:r>
                </w:p>
              </w:tc>
              <w:tc>
                <w:tcPr>
                  <w:tcW w:w="1134" w:type="dxa"/>
                  <w:tcBorders>
                    <w:top w:val="nil"/>
                    <w:left w:val="nil"/>
                    <w:bottom w:val="single" w:color="auto" w:sz="4" w:space="0"/>
                    <w:right w:val="single" w:color="auto" w:sz="4" w:space="0"/>
                  </w:tcBorders>
                  <w:shd w:val="clear" w:color="auto" w:fill="auto"/>
                  <w:noWrap/>
                  <w:vAlign w:val="bottom"/>
                  <w:hideMark/>
                </w:tcPr>
                <w:p w:rsidRPr="00164F06" w:rsidR="00164F06" w:rsidP="00164F06" w:rsidRDefault="00164F06" w14:paraId="4859DD19" w14:textId="77777777">
                  <w:pPr>
                    <w:widowControl/>
                    <w:autoSpaceDE/>
                    <w:autoSpaceDN/>
                    <w:jc w:val="right"/>
                    <w:rPr>
                      <w:rFonts w:ascii="Calibri" w:hAnsi="Calibri" w:eastAsia="Times New Roman" w:cs="Calibri"/>
                      <w:color w:val="000000"/>
                      <w:lang w:val="en-GB" w:eastAsia="en-GB"/>
                    </w:rPr>
                  </w:pPr>
                  <w:r w:rsidRPr="00164F06">
                    <w:rPr>
                      <w:rFonts w:ascii="Calibri" w:hAnsi="Calibri" w:eastAsia="Times New Roman" w:cs="Calibri"/>
                      <w:color w:val="000000"/>
                      <w:lang w:val="en-GB" w:eastAsia="en-GB"/>
                    </w:rPr>
                    <w:t>34%</w:t>
                  </w:r>
                </w:p>
              </w:tc>
            </w:tr>
          </w:tbl>
          <w:p w:rsidR="00726E7F" w:rsidP="005A1E28" w:rsidRDefault="00726E7F" w14:paraId="56BD4F52" w14:textId="5D47CD4E">
            <w:pPr>
              <w:pStyle w:val="TableParagraph"/>
              <w:spacing w:before="0"/>
              <w:jc w:val="left"/>
              <w:rPr>
                <w:sz w:val="24"/>
                <w:szCs w:val="24"/>
              </w:rPr>
            </w:pPr>
          </w:p>
          <w:p w:rsidR="009B3E2A" w:rsidP="005A1E28" w:rsidRDefault="009B3E2A" w14:paraId="2CEF0410" w14:textId="687B9CF2">
            <w:pPr>
              <w:pStyle w:val="TableParagraph"/>
              <w:spacing w:before="0"/>
              <w:jc w:val="left"/>
              <w:rPr>
                <w:sz w:val="24"/>
                <w:szCs w:val="24"/>
              </w:rPr>
            </w:pPr>
          </w:p>
          <w:p w:rsidR="009B3E2A" w:rsidP="005A1E28" w:rsidRDefault="009B3E2A" w14:paraId="0444486D" w14:textId="77777777">
            <w:pPr>
              <w:pStyle w:val="TableParagraph"/>
              <w:spacing w:before="0"/>
              <w:jc w:val="left"/>
              <w:rPr>
                <w:sz w:val="24"/>
                <w:szCs w:val="24"/>
              </w:rPr>
            </w:pPr>
          </w:p>
          <w:tbl>
            <w:tblPr>
              <w:tblW w:w="8659" w:type="dxa"/>
              <w:tblLayout w:type="fixed"/>
              <w:tblLook w:val="04A0" w:firstRow="1" w:lastRow="0" w:firstColumn="1" w:lastColumn="0" w:noHBand="0" w:noVBand="1"/>
            </w:tblPr>
            <w:tblGrid>
              <w:gridCol w:w="4123"/>
              <w:gridCol w:w="1134"/>
              <w:gridCol w:w="1134"/>
              <w:gridCol w:w="1134"/>
              <w:gridCol w:w="1134"/>
            </w:tblGrid>
            <w:tr w:rsidRPr="009B3E2A" w:rsidR="009B3E2A" w:rsidTr="009B3E2A" w14:paraId="34C594E6" w14:textId="77777777">
              <w:trPr>
                <w:trHeight w:val="300"/>
              </w:trPr>
              <w:tc>
                <w:tcPr>
                  <w:tcW w:w="4123"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9B3E2A" w:rsidR="009B3E2A" w:rsidP="009B3E2A" w:rsidRDefault="009B3E2A" w14:paraId="3A30EAA6" w14:textId="77777777">
                  <w:pPr>
                    <w:widowControl/>
                    <w:autoSpaceDE/>
                    <w:autoSpaceDN/>
                    <w:rPr>
                      <w:rFonts w:ascii="Calibri" w:hAnsi="Calibri" w:eastAsia="Times New Roman" w:cs="Calibri"/>
                      <w:b/>
                      <w:bCs/>
                      <w:color w:val="000000"/>
                      <w:lang w:val="en-GB" w:eastAsia="en-GB"/>
                    </w:rPr>
                  </w:pPr>
                  <w:r w:rsidRPr="009B3E2A">
                    <w:rPr>
                      <w:rFonts w:ascii="Calibri" w:hAnsi="Calibri" w:eastAsia="Times New Roman" w:cs="Calibri"/>
                      <w:b/>
                      <w:bCs/>
                      <w:color w:val="000000"/>
                      <w:lang w:val="en-GB" w:eastAsia="en-GB"/>
                    </w:rPr>
                    <w:lastRenderedPageBreak/>
                    <w:t>Special Income/Expenditure</w:t>
                  </w:r>
                </w:p>
              </w:tc>
              <w:tc>
                <w:tcPr>
                  <w:tcW w:w="1134" w:type="dxa"/>
                  <w:tcBorders>
                    <w:top w:val="single" w:color="auto" w:sz="4" w:space="0"/>
                    <w:left w:val="nil"/>
                    <w:bottom w:val="single" w:color="auto" w:sz="4" w:space="0"/>
                    <w:right w:val="single" w:color="auto" w:sz="4" w:space="0"/>
                  </w:tcBorders>
                  <w:shd w:val="clear" w:color="000000" w:fill="D9D9D9"/>
                  <w:noWrap/>
                  <w:vAlign w:val="bottom"/>
                  <w:hideMark/>
                </w:tcPr>
                <w:p w:rsidRPr="009B3E2A" w:rsidR="009B3E2A" w:rsidP="009B3E2A" w:rsidRDefault="009B3E2A" w14:paraId="01A6C510" w14:textId="77777777">
                  <w:pPr>
                    <w:widowControl/>
                    <w:autoSpaceDE/>
                    <w:autoSpaceDN/>
                    <w:jc w:val="center"/>
                    <w:rPr>
                      <w:rFonts w:ascii="Calibri" w:hAnsi="Calibri" w:eastAsia="Times New Roman" w:cs="Calibri"/>
                      <w:b/>
                      <w:bCs/>
                      <w:color w:val="000000"/>
                      <w:lang w:val="en-GB" w:eastAsia="en-GB"/>
                    </w:rPr>
                  </w:pPr>
                  <w:r w:rsidRPr="009B3E2A">
                    <w:rPr>
                      <w:rFonts w:ascii="Calibri" w:hAnsi="Calibri" w:eastAsia="Times New Roman" w:cs="Calibri"/>
                      <w:b/>
                      <w:bCs/>
                      <w:color w:val="000000"/>
                      <w:lang w:val="en-GB" w:eastAsia="en-GB"/>
                    </w:rPr>
                    <w:t>2020/21</w:t>
                  </w:r>
                </w:p>
              </w:tc>
              <w:tc>
                <w:tcPr>
                  <w:tcW w:w="1134" w:type="dxa"/>
                  <w:tcBorders>
                    <w:top w:val="single" w:color="auto" w:sz="4" w:space="0"/>
                    <w:left w:val="nil"/>
                    <w:bottom w:val="single" w:color="auto" w:sz="4" w:space="0"/>
                    <w:right w:val="single" w:color="auto" w:sz="4" w:space="0"/>
                  </w:tcBorders>
                  <w:shd w:val="clear" w:color="000000" w:fill="D9D9D9"/>
                  <w:noWrap/>
                  <w:vAlign w:val="bottom"/>
                  <w:hideMark/>
                </w:tcPr>
                <w:p w:rsidRPr="009B3E2A" w:rsidR="009B3E2A" w:rsidP="009B3E2A" w:rsidRDefault="009B3E2A" w14:paraId="75E2B9B8" w14:textId="77777777">
                  <w:pPr>
                    <w:widowControl/>
                    <w:autoSpaceDE/>
                    <w:autoSpaceDN/>
                    <w:jc w:val="center"/>
                    <w:rPr>
                      <w:rFonts w:ascii="Calibri" w:hAnsi="Calibri" w:eastAsia="Times New Roman" w:cs="Calibri"/>
                      <w:b/>
                      <w:bCs/>
                      <w:color w:val="000000"/>
                      <w:lang w:val="en-GB" w:eastAsia="en-GB"/>
                    </w:rPr>
                  </w:pPr>
                  <w:r w:rsidRPr="009B3E2A">
                    <w:rPr>
                      <w:rFonts w:ascii="Calibri" w:hAnsi="Calibri" w:eastAsia="Times New Roman" w:cs="Calibri"/>
                      <w:b/>
                      <w:bCs/>
                      <w:color w:val="000000"/>
                      <w:lang w:val="en-GB" w:eastAsia="en-GB"/>
                    </w:rPr>
                    <w:t>2021/22</w:t>
                  </w:r>
                </w:p>
              </w:tc>
              <w:tc>
                <w:tcPr>
                  <w:tcW w:w="1134" w:type="dxa"/>
                  <w:tcBorders>
                    <w:top w:val="single" w:color="auto" w:sz="4" w:space="0"/>
                    <w:left w:val="nil"/>
                    <w:bottom w:val="single" w:color="auto" w:sz="4" w:space="0"/>
                    <w:right w:val="single" w:color="auto" w:sz="4" w:space="0"/>
                  </w:tcBorders>
                  <w:shd w:val="clear" w:color="000000" w:fill="D9D9D9"/>
                  <w:noWrap/>
                  <w:vAlign w:val="bottom"/>
                  <w:hideMark/>
                </w:tcPr>
                <w:p w:rsidRPr="009B3E2A" w:rsidR="009B3E2A" w:rsidP="009B3E2A" w:rsidRDefault="009B3E2A" w14:paraId="15FBCFEB" w14:textId="77777777">
                  <w:pPr>
                    <w:widowControl/>
                    <w:autoSpaceDE/>
                    <w:autoSpaceDN/>
                    <w:jc w:val="center"/>
                    <w:rPr>
                      <w:rFonts w:ascii="Calibri" w:hAnsi="Calibri" w:eastAsia="Times New Roman" w:cs="Calibri"/>
                      <w:b/>
                      <w:bCs/>
                      <w:color w:val="000000"/>
                      <w:lang w:val="en-GB" w:eastAsia="en-GB"/>
                    </w:rPr>
                  </w:pPr>
                  <w:r w:rsidRPr="009B3E2A">
                    <w:rPr>
                      <w:rFonts w:ascii="Calibri" w:hAnsi="Calibri" w:eastAsia="Times New Roman" w:cs="Calibri"/>
                      <w:b/>
                      <w:bCs/>
                      <w:color w:val="000000"/>
                      <w:lang w:val="en-GB" w:eastAsia="en-GB"/>
                    </w:rPr>
                    <w:t>Change</w:t>
                  </w:r>
                </w:p>
              </w:tc>
              <w:tc>
                <w:tcPr>
                  <w:tcW w:w="1134" w:type="dxa"/>
                  <w:tcBorders>
                    <w:top w:val="single" w:color="auto" w:sz="4" w:space="0"/>
                    <w:left w:val="nil"/>
                    <w:bottom w:val="single" w:color="auto" w:sz="4" w:space="0"/>
                    <w:right w:val="single" w:color="auto" w:sz="4" w:space="0"/>
                  </w:tcBorders>
                  <w:shd w:val="clear" w:color="000000" w:fill="D9D9D9"/>
                  <w:noWrap/>
                  <w:vAlign w:val="bottom"/>
                  <w:hideMark/>
                </w:tcPr>
                <w:p w:rsidRPr="009B3E2A" w:rsidR="009B3E2A" w:rsidP="009B3E2A" w:rsidRDefault="009B3E2A" w14:paraId="786423FD" w14:textId="2F6F5DAA">
                  <w:pPr>
                    <w:widowControl/>
                    <w:autoSpaceDE/>
                    <w:autoSpaceDN/>
                    <w:jc w:val="center"/>
                    <w:rPr>
                      <w:rFonts w:ascii="Calibri" w:hAnsi="Calibri" w:eastAsia="Times New Roman" w:cs="Calibri"/>
                      <w:b/>
                      <w:bCs/>
                      <w:color w:val="000000"/>
                      <w:lang w:val="en-GB" w:eastAsia="en-GB"/>
                    </w:rPr>
                  </w:pPr>
                  <w:r w:rsidRPr="009B3E2A">
                    <w:rPr>
                      <w:rFonts w:ascii="Calibri" w:hAnsi="Calibri" w:eastAsia="Times New Roman" w:cs="Calibri"/>
                      <w:b/>
                      <w:bCs/>
                      <w:color w:val="000000"/>
                      <w:lang w:val="en-GB" w:eastAsia="en-GB"/>
                    </w:rPr>
                    <w:t>%</w:t>
                  </w:r>
                  <w:r>
                    <w:rPr>
                      <w:rFonts w:ascii="Calibri" w:hAnsi="Calibri" w:eastAsia="Times New Roman" w:cs="Calibri"/>
                      <w:b/>
                      <w:bCs/>
                      <w:color w:val="000000"/>
                      <w:lang w:val="en-GB" w:eastAsia="en-GB"/>
                    </w:rPr>
                    <w:t xml:space="preserve"> </w:t>
                  </w:r>
                  <w:r w:rsidRPr="009B3E2A">
                    <w:rPr>
                      <w:rFonts w:ascii="Calibri" w:hAnsi="Calibri" w:eastAsia="Times New Roman" w:cs="Calibri"/>
                      <w:b/>
                      <w:bCs/>
                      <w:color w:val="000000"/>
                      <w:lang w:val="en-GB" w:eastAsia="en-GB"/>
                    </w:rPr>
                    <w:t>Change</w:t>
                  </w:r>
                </w:p>
              </w:tc>
            </w:tr>
            <w:tr w:rsidRPr="009B3E2A" w:rsidR="009B3E2A" w:rsidTr="009B3E2A" w14:paraId="57E1FAFA" w14:textId="77777777">
              <w:trPr>
                <w:trHeight w:val="256"/>
              </w:trPr>
              <w:tc>
                <w:tcPr>
                  <w:tcW w:w="4123" w:type="dxa"/>
                  <w:tcBorders>
                    <w:top w:val="nil"/>
                    <w:left w:val="single" w:color="auto" w:sz="4" w:space="0"/>
                    <w:bottom w:val="single" w:color="auto" w:sz="4" w:space="0"/>
                    <w:right w:val="single" w:color="auto" w:sz="4" w:space="0"/>
                  </w:tcBorders>
                  <w:shd w:val="clear" w:color="auto" w:fill="auto"/>
                  <w:noWrap/>
                  <w:vAlign w:val="bottom"/>
                  <w:hideMark/>
                </w:tcPr>
                <w:p w:rsidRPr="009B3E2A" w:rsidR="009B3E2A" w:rsidP="009B3E2A" w:rsidRDefault="009B3E2A" w14:paraId="1AEE1C4A" w14:textId="77777777">
                  <w:pPr>
                    <w:widowControl/>
                    <w:autoSpaceDE/>
                    <w:autoSpaceDN/>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 xml:space="preserve">Schools Block &amp; 6th form funding per pupil </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3BC00977" w14:textId="77777777">
                  <w:pPr>
                    <w:widowControl/>
                    <w:autoSpaceDE/>
                    <w:autoSpaceDN/>
                    <w:jc w:val="right"/>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6,683.21</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5137F81D" w14:textId="77777777">
                  <w:pPr>
                    <w:widowControl/>
                    <w:autoSpaceDE/>
                    <w:autoSpaceDN/>
                    <w:jc w:val="right"/>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6,763.35</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6B36613A" w14:textId="77777777">
                  <w:pPr>
                    <w:widowControl/>
                    <w:autoSpaceDE/>
                    <w:autoSpaceDN/>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 xml:space="preserve">        80.13 </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203CCF1B" w14:textId="77777777">
                  <w:pPr>
                    <w:widowControl/>
                    <w:autoSpaceDE/>
                    <w:autoSpaceDN/>
                    <w:jc w:val="right"/>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1%</w:t>
                  </w:r>
                </w:p>
              </w:tc>
            </w:tr>
            <w:tr w:rsidRPr="009B3E2A" w:rsidR="009B3E2A" w:rsidTr="009B3E2A" w14:paraId="2713134B" w14:textId="77777777">
              <w:trPr>
                <w:trHeight w:val="300"/>
              </w:trPr>
              <w:tc>
                <w:tcPr>
                  <w:tcW w:w="4123" w:type="dxa"/>
                  <w:tcBorders>
                    <w:top w:val="nil"/>
                    <w:left w:val="single" w:color="auto" w:sz="4" w:space="0"/>
                    <w:bottom w:val="single" w:color="auto" w:sz="4" w:space="0"/>
                    <w:right w:val="single" w:color="auto" w:sz="4" w:space="0"/>
                  </w:tcBorders>
                  <w:shd w:val="clear" w:color="auto" w:fill="auto"/>
                  <w:noWrap/>
                  <w:vAlign w:val="bottom"/>
                  <w:hideMark/>
                </w:tcPr>
                <w:p w:rsidRPr="009B3E2A" w:rsidR="009B3E2A" w:rsidP="009B3E2A" w:rsidRDefault="009B3E2A" w14:paraId="13661D31" w14:textId="77777777">
                  <w:pPr>
                    <w:widowControl/>
                    <w:autoSpaceDE/>
                    <w:autoSpaceDN/>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Grant Funding per pupil</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4F7AA882" w14:textId="77777777">
                  <w:pPr>
                    <w:widowControl/>
                    <w:autoSpaceDE/>
                    <w:autoSpaceDN/>
                    <w:jc w:val="right"/>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742.77</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2F9F568C" w14:textId="77777777">
                  <w:pPr>
                    <w:widowControl/>
                    <w:autoSpaceDE/>
                    <w:autoSpaceDN/>
                    <w:jc w:val="right"/>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800.86</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0EC8121A" w14:textId="77777777">
                  <w:pPr>
                    <w:widowControl/>
                    <w:autoSpaceDE/>
                    <w:autoSpaceDN/>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 xml:space="preserve">        58.09 </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2C6B2FBC" w14:textId="77777777">
                  <w:pPr>
                    <w:widowControl/>
                    <w:autoSpaceDE/>
                    <w:autoSpaceDN/>
                    <w:jc w:val="right"/>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8%</w:t>
                  </w:r>
                </w:p>
              </w:tc>
            </w:tr>
            <w:tr w:rsidRPr="009B3E2A" w:rsidR="009B3E2A" w:rsidTr="009B3E2A" w14:paraId="50863466" w14:textId="77777777">
              <w:trPr>
                <w:trHeight w:val="300"/>
              </w:trPr>
              <w:tc>
                <w:tcPr>
                  <w:tcW w:w="4123" w:type="dxa"/>
                  <w:tcBorders>
                    <w:top w:val="nil"/>
                    <w:left w:val="single" w:color="auto" w:sz="4" w:space="0"/>
                    <w:bottom w:val="single" w:color="auto" w:sz="4" w:space="0"/>
                    <w:right w:val="single" w:color="auto" w:sz="4" w:space="0"/>
                  </w:tcBorders>
                  <w:shd w:val="clear" w:color="auto" w:fill="auto"/>
                  <w:noWrap/>
                  <w:vAlign w:val="bottom"/>
                  <w:hideMark/>
                </w:tcPr>
                <w:p w:rsidRPr="009B3E2A" w:rsidR="009B3E2A" w:rsidP="009B3E2A" w:rsidRDefault="009B3E2A" w14:paraId="21D7EF7A" w14:textId="77777777">
                  <w:pPr>
                    <w:widowControl/>
                    <w:autoSpaceDE/>
                    <w:autoSpaceDN/>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 </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740ADCE1" w14:textId="77777777">
                  <w:pPr>
                    <w:widowControl/>
                    <w:autoSpaceDE/>
                    <w:autoSpaceDN/>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 </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5FC8A177" w14:textId="77777777">
                  <w:pPr>
                    <w:widowControl/>
                    <w:autoSpaceDE/>
                    <w:autoSpaceDN/>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 </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2EE74AA4" w14:textId="77777777">
                  <w:pPr>
                    <w:widowControl/>
                    <w:autoSpaceDE/>
                    <w:autoSpaceDN/>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 </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7A274B71" w14:textId="77777777">
                  <w:pPr>
                    <w:widowControl/>
                    <w:autoSpaceDE/>
                    <w:autoSpaceDN/>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 </w:t>
                  </w:r>
                </w:p>
              </w:tc>
            </w:tr>
            <w:tr w:rsidRPr="009B3E2A" w:rsidR="009B3E2A" w:rsidTr="009B3E2A" w14:paraId="17532C3E" w14:textId="77777777">
              <w:trPr>
                <w:trHeight w:val="300"/>
              </w:trPr>
              <w:tc>
                <w:tcPr>
                  <w:tcW w:w="4123" w:type="dxa"/>
                  <w:tcBorders>
                    <w:top w:val="nil"/>
                    <w:left w:val="single" w:color="auto" w:sz="4" w:space="0"/>
                    <w:bottom w:val="single" w:color="auto" w:sz="4" w:space="0"/>
                    <w:right w:val="single" w:color="auto" w:sz="4" w:space="0"/>
                  </w:tcBorders>
                  <w:shd w:val="clear" w:color="auto" w:fill="auto"/>
                  <w:noWrap/>
                  <w:vAlign w:val="bottom"/>
                  <w:hideMark/>
                </w:tcPr>
                <w:p w:rsidRPr="009B3E2A" w:rsidR="009B3E2A" w:rsidP="009B3E2A" w:rsidRDefault="009B3E2A" w14:paraId="4794FAC1" w14:textId="77777777">
                  <w:pPr>
                    <w:widowControl/>
                    <w:autoSpaceDE/>
                    <w:autoSpaceDN/>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Teacher costs per pupil</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3964A5D1" w14:textId="77777777">
                  <w:pPr>
                    <w:widowControl/>
                    <w:autoSpaceDE/>
                    <w:autoSpaceDN/>
                    <w:jc w:val="right"/>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3,706.82</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653A0563" w14:textId="77777777">
                  <w:pPr>
                    <w:widowControl/>
                    <w:autoSpaceDE/>
                    <w:autoSpaceDN/>
                    <w:jc w:val="right"/>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3,946.90</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7DED8539" w14:textId="77777777">
                  <w:pPr>
                    <w:widowControl/>
                    <w:autoSpaceDE/>
                    <w:autoSpaceDN/>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 xml:space="preserve">     240.09 </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1C1CC8E1" w14:textId="77777777">
                  <w:pPr>
                    <w:widowControl/>
                    <w:autoSpaceDE/>
                    <w:autoSpaceDN/>
                    <w:jc w:val="right"/>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6%</w:t>
                  </w:r>
                </w:p>
              </w:tc>
            </w:tr>
            <w:tr w:rsidRPr="009B3E2A" w:rsidR="009B3E2A" w:rsidTr="009B3E2A" w14:paraId="5A7E9C68" w14:textId="77777777">
              <w:trPr>
                <w:trHeight w:val="300"/>
              </w:trPr>
              <w:tc>
                <w:tcPr>
                  <w:tcW w:w="4123" w:type="dxa"/>
                  <w:tcBorders>
                    <w:top w:val="nil"/>
                    <w:left w:val="single" w:color="auto" w:sz="4" w:space="0"/>
                    <w:bottom w:val="single" w:color="auto" w:sz="4" w:space="0"/>
                    <w:right w:val="single" w:color="auto" w:sz="4" w:space="0"/>
                  </w:tcBorders>
                  <w:shd w:val="clear" w:color="auto" w:fill="auto"/>
                  <w:noWrap/>
                  <w:vAlign w:val="bottom"/>
                  <w:hideMark/>
                </w:tcPr>
                <w:p w:rsidRPr="009B3E2A" w:rsidR="009B3E2A" w:rsidP="009B3E2A" w:rsidRDefault="009B3E2A" w14:paraId="6CD50B74" w14:textId="77777777">
                  <w:pPr>
                    <w:widowControl/>
                    <w:autoSpaceDE/>
                    <w:autoSpaceDN/>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Education support staff costs per pupil</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4425658A" w14:textId="77777777">
                  <w:pPr>
                    <w:widowControl/>
                    <w:autoSpaceDE/>
                    <w:autoSpaceDN/>
                    <w:jc w:val="right"/>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1,498.25</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69B53779" w14:textId="77777777">
                  <w:pPr>
                    <w:widowControl/>
                    <w:autoSpaceDE/>
                    <w:autoSpaceDN/>
                    <w:jc w:val="right"/>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1,517.27</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681DFCB7" w14:textId="77777777">
                  <w:pPr>
                    <w:widowControl/>
                    <w:autoSpaceDE/>
                    <w:autoSpaceDN/>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 xml:space="preserve">        19.03 </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6174D790" w14:textId="77777777">
                  <w:pPr>
                    <w:widowControl/>
                    <w:autoSpaceDE/>
                    <w:autoSpaceDN/>
                    <w:jc w:val="right"/>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1%</w:t>
                  </w:r>
                </w:p>
              </w:tc>
            </w:tr>
            <w:tr w:rsidRPr="009B3E2A" w:rsidR="009B3E2A" w:rsidTr="009B3E2A" w14:paraId="36B604D3" w14:textId="77777777">
              <w:trPr>
                <w:trHeight w:val="300"/>
              </w:trPr>
              <w:tc>
                <w:tcPr>
                  <w:tcW w:w="4123" w:type="dxa"/>
                  <w:tcBorders>
                    <w:top w:val="nil"/>
                    <w:left w:val="single" w:color="auto" w:sz="4" w:space="0"/>
                    <w:bottom w:val="single" w:color="auto" w:sz="4" w:space="0"/>
                    <w:right w:val="single" w:color="auto" w:sz="4" w:space="0"/>
                  </w:tcBorders>
                  <w:shd w:val="clear" w:color="auto" w:fill="auto"/>
                  <w:noWrap/>
                  <w:vAlign w:val="bottom"/>
                  <w:hideMark/>
                </w:tcPr>
                <w:p w:rsidRPr="009B3E2A" w:rsidR="009B3E2A" w:rsidP="009B3E2A" w:rsidRDefault="009B3E2A" w14:paraId="46432D9A" w14:textId="77777777">
                  <w:pPr>
                    <w:widowControl/>
                    <w:autoSpaceDE/>
                    <w:autoSpaceDN/>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 xml:space="preserve">Other staff costs per pupil </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1A395566" w14:textId="77777777">
                  <w:pPr>
                    <w:widowControl/>
                    <w:autoSpaceDE/>
                    <w:autoSpaceDN/>
                    <w:jc w:val="right"/>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802.87</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248DE57A" w14:textId="77777777">
                  <w:pPr>
                    <w:widowControl/>
                    <w:autoSpaceDE/>
                    <w:autoSpaceDN/>
                    <w:jc w:val="right"/>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846.61</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72A92E5E" w14:textId="77777777">
                  <w:pPr>
                    <w:widowControl/>
                    <w:autoSpaceDE/>
                    <w:autoSpaceDN/>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 xml:space="preserve">        43.74 </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5F64BD10" w14:textId="77777777">
                  <w:pPr>
                    <w:widowControl/>
                    <w:autoSpaceDE/>
                    <w:autoSpaceDN/>
                    <w:jc w:val="right"/>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5%</w:t>
                  </w:r>
                </w:p>
              </w:tc>
            </w:tr>
            <w:tr w:rsidRPr="009B3E2A" w:rsidR="009B3E2A" w:rsidTr="009B3E2A" w14:paraId="0D27FAD6" w14:textId="77777777">
              <w:trPr>
                <w:trHeight w:val="300"/>
              </w:trPr>
              <w:tc>
                <w:tcPr>
                  <w:tcW w:w="4123" w:type="dxa"/>
                  <w:tcBorders>
                    <w:top w:val="nil"/>
                    <w:left w:val="single" w:color="auto" w:sz="4" w:space="0"/>
                    <w:bottom w:val="single" w:color="auto" w:sz="4" w:space="0"/>
                    <w:right w:val="single" w:color="auto" w:sz="4" w:space="0"/>
                  </w:tcBorders>
                  <w:shd w:val="clear" w:color="auto" w:fill="auto"/>
                  <w:noWrap/>
                  <w:vAlign w:val="bottom"/>
                  <w:hideMark/>
                </w:tcPr>
                <w:p w:rsidRPr="009B3E2A" w:rsidR="009B3E2A" w:rsidP="009B3E2A" w:rsidRDefault="009B3E2A" w14:paraId="7FE3EFB6" w14:textId="77777777">
                  <w:pPr>
                    <w:widowControl/>
                    <w:autoSpaceDE/>
                    <w:autoSpaceDN/>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Learning resources costs per pupil</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667009E2" w14:textId="77777777">
                  <w:pPr>
                    <w:widowControl/>
                    <w:autoSpaceDE/>
                    <w:autoSpaceDN/>
                    <w:jc w:val="right"/>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272.72</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73380B2D" w14:textId="77777777">
                  <w:pPr>
                    <w:widowControl/>
                    <w:autoSpaceDE/>
                    <w:autoSpaceDN/>
                    <w:jc w:val="right"/>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406.02</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4811A2A7" w14:textId="77777777">
                  <w:pPr>
                    <w:widowControl/>
                    <w:autoSpaceDE/>
                    <w:autoSpaceDN/>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 xml:space="preserve">     133.30 </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6799AA52" w14:textId="77777777">
                  <w:pPr>
                    <w:widowControl/>
                    <w:autoSpaceDE/>
                    <w:autoSpaceDN/>
                    <w:jc w:val="right"/>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49%</w:t>
                  </w:r>
                </w:p>
              </w:tc>
            </w:tr>
            <w:tr w:rsidRPr="009B3E2A" w:rsidR="009B3E2A" w:rsidTr="009B3E2A" w14:paraId="76271A91" w14:textId="77777777">
              <w:trPr>
                <w:trHeight w:val="300"/>
              </w:trPr>
              <w:tc>
                <w:tcPr>
                  <w:tcW w:w="4123" w:type="dxa"/>
                  <w:tcBorders>
                    <w:top w:val="nil"/>
                    <w:left w:val="single" w:color="auto" w:sz="4" w:space="0"/>
                    <w:bottom w:val="single" w:color="auto" w:sz="4" w:space="0"/>
                    <w:right w:val="single" w:color="auto" w:sz="4" w:space="0"/>
                  </w:tcBorders>
                  <w:shd w:val="clear" w:color="auto" w:fill="auto"/>
                  <w:noWrap/>
                  <w:vAlign w:val="bottom"/>
                  <w:hideMark/>
                </w:tcPr>
                <w:p w:rsidRPr="009B3E2A" w:rsidR="009B3E2A" w:rsidP="009B3E2A" w:rsidRDefault="009B3E2A" w14:paraId="51CE9E8F" w14:textId="77777777">
                  <w:pPr>
                    <w:widowControl/>
                    <w:autoSpaceDE/>
                    <w:autoSpaceDN/>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Energy costs per pupil</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7EA5C457" w14:textId="77777777">
                  <w:pPr>
                    <w:widowControl/>
                    <w:autoSpaceDE/>
                    <w:autoSpaceDN/>
                    <w:jc w:val="right"/>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82.21</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386A2921" w14:textId="77777777">
                  <w:pPr>
                    <w:widowControl/>
                    <w:autoSpaceDE/>
                    <w:autoSpaceDN/>
                    <w:jc w:val="right"/>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91.50</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5BB8A3A3" w14:textId="77777777">
                  <w:pPr>
                    <w:widowControl/>
                    <w:autoSpaceDE/>
                    <w:autoSpaceDN/>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 xml:space="preserve">          9.28 </w:t>
                  </w:r>
                </w:p>
              </w:tc>
              <w:tc>
                <w:tcPr>
                  <w:tcW w:w="1134" w:type="dxa"/>
                  <w:tcBorders>
                    <w:top w:val="nil"/>
                    <w:left w:val="nil"/>
                    <w:bottom w:val="single" w:color="auto" w:sz="4" w:space="0"/>
                    <w:right w:val="single" w:color="auto" w:sz="4" w:space="0"/>
                  </w:tcBorders>
                  <w:shd w:val="clear" w:color="auto" w:fill="auto"/>
                  <w:noWrap/>
                  <w:vAlign w:val="bottom"/>
                  <w:hideMark/>
                </w:tcPr>
                <w:p w:rsidRPr="009B3E2A" w:rsidR="009B3E2A" w:rsidP="009B3E2A" w:rsidRDefault="009B3E2A" w14:paraId="556A9D73" w14:textId="77777777">
                  <w:pPr>
                    <w:widowControl/>
                    <w:autoSpaceDE/>
                    <w:autoSpaceDN/>
                    <w:jc w:val="right"/>
                    <w:rPr>
                      <w:rFonts w:ascii="Calibri" w:hAnsi="Calibri" w:eastAsia="Times New Roman" w:cs="Calibri"/>
                      <w:color w:val="000000"/>
                      <w:lang w:val="en-GB" w:eastAsia="en-GB"/>
                    </w:rPr>
                  </w:pPr>
                  <w:r w:rsidRPr="009B3E2A">
                    <w:rPr>
                      <w:rFonts w:ascii="Calibri" w:hAnsi="Calibri" w:eastAsia="Times New Roman" w:cs="Calibri"/>
                      <w:color w:val="000000"/>
                      <w:lang w:val="en-GB" w:eastAsia="en-GB"/>
                    </w:rPr>
                    <w:t>11%</w:t>
                  </w:r>
                </w:p>
              </w:tc>
            </w:tr>
          </w:tbl>
          <w:p w:rsidRPr="00E226C5" w:rsidR="008A4E97" w:rsidP="00E226C5" w:rsidRDefault="008A4E97" w14:paraId="01E07DD3" w14:textId="53365FF9">
            <w:pPr>
              <w:pStyle w:val="TableParagraph"/>
              <w:spacing w:before="0"/>
              <w:jc w:val="left"/>
              <w:rPr>
                <w:sz w:val="24"/>
                <w:szCs w:val="24"/>
              </w:rPr>
            </w:pPr>
          </w:p>
        </w:tc>
      </w:tr>
      <w:tr w:rsidRPr="00A70107" w:rsidR="00A25435" w:rsidTr="0042235B" w14:paraId="6C244666" w14:textId="77777777">
        <w:trPr>
          <w:trHeight w:val="260"/>
        </w:trPr>
        <w:tc>
          <w:tcPr>
            <w:tcW w:w="547" w:type="dxa"/>
          </w:tcPr>
          <w:p w:rsidRPr="00A70107" w:rsidR="00A25435" w:rsidP="00A25435" w:rsidRDefault="00A25435" w14:paraId="07EE06A4" w14:textId="77777777">
            <w:pPr>
              <w:pStyle w:val="TableParagraph"/>
              <w:spacing w:before="0"/>
              <w:jc w:val="left"/>
              <w:rPr>
                <w:sz w:val="24"/>
                <w:szCs w:val="24"/>
              </w:rPr>
            </w:pPr>
          </w:p>
        </w:tc>
        <w:tc>
          <w:tcPr>
            <w:tcW w:w="9878" w:type="dxa"/>
          </w:tcPr>
          <w:p w:rsidRPr="00A70107" w:rsidR="00A25435" w:rsidP="005A1E28" w:rsidRDefault="00A25435" w14:paraId="5181659E" w14:textId="77777777">
            <w:pPr>
              <w:pStyle w:val="TableParagraph"/>
              <w:spacing w:before="0"/>
              <w:jc w:val="left"/>
              <w:rPr>
                <w:sz w:val="24"/>
                <w:szCs w:val="24"/>
              </w:rPr>
            </w:pPr>
          </w:p>
        </w:tc>
      </w:tr>
      <w:tr w:rsidRPr="00A70107" w:rsidR="00A25435" w:rsidTr="0042235B" w14:paraId="2AEB2BB2" w14:textId="77777777">
        <w:trPr>
          <w:trHeight w:val="260"/>
        </w:trPr>
        <w:tc>
          <w:tcPr>
            <w:tcW w:w="547" w:type="dxa"/>
          </w:tcPr>
          <w:p w:rsidRPr="00A70107" w:rsidR="00A25435" w:rsidP="009F0082" w:rsidRDefault="00A25435" w14:paraId="2160BEB0" w14:textId="77777777">
            <w:pPr>
              <w:pStyle w:val="TableParagraph"/>
              <w:spacing w:before="0"/>
              <w:jc w:val="left"/>
              <w:rPr>
                <w:sz w:val="24"/>
                <w:szCs w:val="24"/>
              </w:rPr>
            </w:pPr>
          </w:p>
        </w:tc>
        <w:tc>
          <w:tcPr>
            <w:tcW w:w="9878" w:type="dxa"/>
          </w:tcPr>
          <w:p w:rsidRPr="00A70107" w:rsidR="00A25435" w:rsidP="009F0082" w:rsidRDefault="00A25435" w14:paraId="17802A80" w14:textId="77777777">
            <w:pPr>
              <w:pStyle w:val="TableParagraph"/>
              <w:spacing w:before="0"/>
              <w:jc w:val="left"/>
              <w:rPr>
                <w:sz w:val="24"/>
                <w:szCs w:val="24"/>
              </w:rPr>
            </w:pPr>
          </w:p>
        </w:tc>
      </w:tr>
      <w:tr w:rsidRPr="00A70107" w:rsidR="00A25435" w:rsidTr="0042235B" w14:paraId="13A2845F" w14:textId="77777777">
        <w:trPr>
          <w:trHeight w:val="260"/>
        </w:trPr>
        <w:tc>
          <w:tcPr>
            <w:tcW w:w="547" w:type="dxa"/>
          </w:tcPr>
          <w:p w:rsidR="00A25435" w:rsidP="009F0082" w:rsidRDefault="00726E7F" w14:paraId="08C8C0BB" w14:textId="77777777">
            <w:pPr>
              <w:pStyle w:val="TableParagraph"/>
              <w:spacing w:before="0"/>
              <w:jc w:val="left"/>
              <w:rPr>
                <w:b/>
                <w:bCs/>
                <w:sz w:val="24"/>
                <w:szCs w:val="24"/>
              </w:rPr>
            </w:pPr>
            <w:r>
              <w:rPr>
                <w:b/>
                <w:bCs/>
                <w:sz w:val="24"/>
                <w:szCs w:val="24"/>
              </w:rPr>
              <w:t>5.0</w:t>
            </w:r>
          </w:p>
          <w:p w:rsidR="00726E7F" w:rsidP="009F0082" w:rsidRDefault="00726E7F" w14:paraId="62B080CD" w14:textId="77777777">
            <w:pPr>
              <w:pStyle w:val="TableParagraph"/>
              <w:spacing w:before="0"/>
              <w:jc w:val="left"/>
              <w:rPr>
                <w:b/>
                <w:bCs/>
                <w:sz w:val="24"/>
                <w:szCs w:val="24"/>
              </w:rPr>
            </w:pPr>
          </w:p>
          <w:p w:rsidRPr="00786668" w:rsidR="00726E7F" w:rsidP="009F0082" w:rsidRDefault="00726E7F" w14:paraId="1AF8122D" w14:textId="3140339B">
            <w:pPr>
              <w:pStyle w:val="TableParagraph"/>
              <w:spacing w:before="0"/>
              <w:jc w:val="left"/>
              <w:rPr>
                <w:sz w:val="24"/>
                <w:szCs w:val="24"/>
              </w:rPr>
            </w:pPr>
            <w:r w:rsidRPr="00786668">
              <w:rPr>
                <w:sz w:val="24"/>
                <w:szCs w:val="24"/>
              </w:rPr>
              <w:t xml:space="preserve">5.1 </w:t>
            </w:r>
          </w:p>
        </w:tc>
        <w:tc>
          <w:tcPr>
            <w:tcW w:w="9878" w:type="dxa"/>
          </w:tcPr>
          <w:p w:rsidRPr="007801E8" w:rsidR="00A25435" w:rsidP="00A25435" w:rsidRDefault="00726E7F" w14:paraId="1879AF9E" w14:textId="77777777">
            <w:pPr>
              <w:pStyle w:val="TableParagraph"/>
              <w:tabs>
                <w:tab w:val="left" w:pos="299"/>
              </w:tabs>
              <w:spacing w:before="0"/>
              <w:jc w:val="left"/>
              <w:rPr>
                <w:b/>
                <w:sz w:val="24"/>
                <w:szCs w:val="24"/>
              </w:rPr>
            </w:pPr>
            <w:r w:rsidRPr="007801E8">
              <w:rPr>
                <w:b/>
                <w:sz w:val="24"/>
                <w:szCs w:val="24"/>
              </w:rPr>
              <w:t>2021-22 Capital Balances-Maintained Schools</w:t>
            </w:r>
          </w:p>
          <w:p w:rsidR="00726E7F" w:rsidP="00A25435" w:rsidRDefault="00726E7F" w14:paraId="705A30CB" w14:textId="77777777">
            <w:pPr>
              <w:pStyle w:val="TableParagraph"/>
              <w:tabs>
                <w:tab w:val="left" w:pos="299"/>
              </w:tabs>
              <w:spacing w:before="0"/>
              <w:jc w:val="left"/>
              <w:rPr>
                <w:b/>
                <w:sz w:val="24"/>
                <w:szCs w:val="24"/>
                <w:u w:val="single"/>
              </w:rPr>
            </w:pPr>
          </w:p>
          <w:p w:rsidR="00726E7F" w:rsidP="00A25435" w:rsidRDefault="00726E7F" w14:paraId="1ACE7EF5" w14:textId="47FDF6F7">
            <w:pPr>
              <w:pStyle w:val="TableParagraph"/>
              <w:tabs>
                <w:tab w:val="left" w:pos="299"/>
              </w:tabs>
              <w:spacing w:before="0"/>
              <w:jc w:val="left"/>
              <w:rPr>
                <w:bCs/>
                <w:sz w:val="24"/>
                <w:szCs w:val="24"/>
              </w:rPr>
            </w:pPr>
            <w:r w:rsidRPr="00726E7F">
              <w:rPr>
                <w:bCs/>
                <w:sz w:val="24"/>
                <w:szCs w:val="24"/>
              </w:rPr>
              <w:t xml:space="preserve">The tables below detail the </w:t>
            </w:r>
            <w:proofErr w:type="gramStart"/>
            <w:r w:rsidRPr="00726E7F">
              <w:rPr>
                <w:bCs/>
                <w:sz w:val="24"/>
                <w:szCs w:val="24"/>
              </w:rPr>
              <w:t>schools</w:t>
            </w:r>
            <w:proofErr w:type="gramEnd"/>
            <w:r w:rsidRPr="00726E7F">
              <w:rPr>
                <w:bCs/>
                <w:sz w:val="24"/>
                <w:szCs w:val="24"/>
              </w:rPr>
              <w:t xml:space="preserve"> capital balances by phase and funding source</w:t>
            </w:r>
            <w:r w:rsidR="007A65CB">
              <w:rPr>
                <w:bCs/>
                <w:sz w:val="24"/>
                <w:szCs w:val="24"/>
              </w:rPr>
              <w:t>. During 2021/22 £1.</w:t>
            </w:r>
            <w:r w:rsidR="001F3BC0">
              <w:rPr>
                <w:bCs/>
                <w:sz w:val="24"/>
                <w:szCs w:val="24"/>
              </w:rPr>
              <w:t>1</w:t>
            </w:r>
            <w:r w:rsidR="007A65CB">
              <w:rPr>
                <w:bCs/>
                <w:sz w:val="24"/>
                <w:szCs w:val="24"/>
              </w:rPr>
              <w:t xml:space="preserve">m of revenue was transferred from capital to revenue. </w:t>
            </w:r>
          </w:p>
          <w:p w:rsidR="007A65CB" w:rsidP="00A25435" w:rsidRDefault="007A65CB" w14:paraId="4E331E60" w14:textId="5B5F69C9">
            <w:pPr>
              <w:pStyle w:val="TableParagraph"/>
              <w:tabs>
                <w:tab w:val="left" w:pos="299"/>
              </w:tabs>
              <w:spacing w:before="0"/>
              <w:jc w:val="left"/>
              <w:rPr>
                <w:bCs/>
                <w:sz w:val="24"/>
                <w:szCs w:val="24"/>
              </w:rPr>
            </w:pPr>
          </w:p>
          <w:tbl>
            <w:tblPr>
              <w:tblW w:w="8560" w:type="dxa"/>
              <w:tblLayout w:type="fixed"/>
              <w:tblLook w:val="04A0" w:firstRow="1" w:lastRow="0" w:firstColumn="1" w:lastColumn="0" w:noHBand="0" w:noVBand="1"/>
            </w:tblPr>
            <w:tblGrid>
              <w:gridCol w:w="4720"/>
              <w:gridCol w:w="940"/>
              <w:gridCol w:w="1000"/>
              <w:gridCol w:w="940"/>
              <w:gridCol w:w="960"/>
            </w:tblGrid>
            <w:tr w:rsidRPr="00703ADF" w:rsidR="00703ADF" w:rsidTr="00703ADF" w14:paraId="232E9C9F" w14:textId="77777777">
              <w:trPr>
                <w:trHeight w:val="600"/>
              </w:trPr>
              <w:tc>
                <w:tcPr>
                  <w:tcW w:w="472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703ADF" w:rsidR="00703ADF" w:rsidP="00703ADF" w:rsidRDefault="00703ADF" w14:paraId="280A68CA" w14:textId="77777777">
                  <w:pPr>
                    <w:widowControl/>
                    <w:autoSpaceDE/>
                    <w:autoSpaceDN/>
                    <w:rPr>
                      <w:rFonts w:ascii="Calibri" w:hAnsi="Calibri" w:eastAsia="Times New Roman" w:cs="Calibri"/>
                      <w:b/>
                      <w:bCs/>
                      <w:color w:val="000000"/>
                      <w:lang w:val="en-GB" w:eastAsia="en-GB"/>
                    </w:rPr>
                  </w:pPr>
                  <w:r w:rsidRPr="00703ADF">
                    <w:rPr>
                      <w:rFonts w:ascii="Calibri" w:hAnsi="Calibri" w:eastAsia="Times New Roman" w:cs="Calibri"/>
                      <w:b/>
                      <w:bCs/>
                      <w:color w:val="000000"/>
                      <w:lang w:val="en-GB" w:eastAsia="en-GB"/>
                    </w:rPr>
                    <w:t>Primary (including nursery) Source of Funding</w:t>
                  </w:r>
                </w:p>
              </w:tc>
              <w:tc>
                <w:tcPr>
                  <w:tcW w:w="940" w:type="dxa"/>
                  <w:tcBorders>
                    <w:top w:val="single" w:color="auto" w:sz="4" w:space="0"/>
                    <w:left w:val="nil"/>
                    <w:bottom w:val="single" w:color="auto" w:sz="4" w:space="0"/>
                    <w:right w:val="single" w:color="auto" w:sz="4" w:space="0"/>
                  </w:tcBorders>
                  <w:shd w:val="clear" w:color="000000" w:fill="D9D9D9"/>
                  <w:vAlign w:val="bottom"/>
                  <w:hideMark/>
                </w:tcPr>
                <w:p w:rsidRPr="00703ADF" w:rsidR="00703ADF" w:rsidP="00703ADF" w:rsidRDefault="00703ADF" w14:paraId="3262D22B" w14:textId="77777777">
                  <w:pPr>
                    <w:widowControl/>
                    <w:autoSpaceDE/>
                    <w:autoSpaceDN/>
                    <w:jc w:val="center"/>
                    <w:rPr>
                      <w:rFonts w:ascii="Calibri" w:hAnsi="Calibri" w:eastAsia="Times New Roman" w:cs="Calibri"/>
                      <w:b/>
                      <w:bCs/>
                      <w:color w:val="000000"/>
                      <w:lang w:val="en-GB" w:eastAsia="en-GB"/>
                    </w:rPr>
                  </w:pPr>
                  <w:r w:rsidRPr="00703ADF">
                    <w:rPr>
                      <w:rFonts w:ascii="Calibri" w:hAnsi="Calibri" w:eastAsia="Times New Roman" w:cs="Calibri"/>
                      <w:b/>
                      <w:bCs/>
                      <w:color w:val="000000"/>
                      <w:lang w:val="en-GB" w:eastAsia="en-GB"/>
                    </w:rPr>
                    <w:t>Opening Balance</w:t>
                  </w:r>
                </w:p>
              </w:tc>
              <w:tc>
                <w:tcPr>
                  <w:tcW w:w="1000" w:type="dxa"/>
                  <w:tcBorders>
                    <w:top w:val="single" w:color="auto" w:sz="4" w:space="0"/>
                    <w:left w:val="nil"/>
                    <w:bottom w:val="single" w:color="auto" w:sz="4" w:space="0"/>
                    <w:right w:val="single" w:color="auto" w:sz="4" w:space="0"/>
                  </w:tcBorders>
                  <w:shd w:val="clear" w:color="000000" w:fill="D9D9D9"/>
                  <w:vAlign w:val="bottom"/>
                  <w:hideMark/>
                </w:tcPr>
                <w:p w:rsidRPr="00703ADF" w:rsidR="00703ADF" w:rsidP="00703ADF" w:rsidRDefault="00703ADF" w14:paraId="14258BB9" w14:textId="77777777">
                  <w:pPr>
                    <w:widowControl/>
                    <w:autoSpaceDE/>
                    <w:autoSpaceDN/>
                    <w:jc w:val="center"/>
                    <w:rPr>
                      <w:rFonts w:ascii="Calibri" w:hAnsi="Calibri" w:eastAsia="Times New Roman" w:cs="Calibri"/>
                      <w:b/>
                      <w:bCs/>
                      <w:color w:val="000000"/>
                      <w:lang w:val="en-GB" w:eastAsia="en-GB"/>
                    </w:rPr>
                  </w:pPr>
                  <w:r w:rsidRPr="00703ADF">
                    <w:rPr>
                      <w:rFonts w:ascii="Calibri" w:hAnsi="Calibri" w:eastAsia="Times New Roman" w:cs="Calibri"/>
                      <w:b/>
                      <w:bCs/>
                      <w:color w:val="000000"/>
                      <w:lang w:val="en-GB" w:eastAsia="en-GB"/>
                    </w:rPr>
                    <w:t>Closing Balance</w:t>
                  </w:r>
                </w:p>
              </w:tc>
              <w:tc>
                <w:tcPr>
                  <w:tcW w:w="940" w:type="dxa"/>
                  <w:tcBorders>
                    <w:top w:val="single" w:color="auto" w:sz="4" w:space="0"/>
                    <w:left w:val="nil"/>
                    <w:bottom w:val="single" w:color="auto" w:sz="4" w:space="0"/>
                    <w:right w:val="single" w:color="auto" w:sz="4" w:space="0"/>
                  </w:tcBorders>
                  <w:shd w:val="clear" w:color="000000" w:fill="D9D9D9"/>
                  <w:vAlign w:val="bottom"/>
                  <w:hideMark/>
                </w:tcPr>
                <w:p w:rsidRPr="00703ADF" w:rsidR="00703ADF" w:rsidP="00703ADF" w:rsidRDefault="00703ADF" w14:paraId="7F6DF259" w14:textId="77777777">
                  <w:pPr>
                    <w:widowControl/>
                    <w:autoSpaceDE/>
                    <w:autoSpaceDN/>
                    <w:jc w:val="center"/>
                    <w:rPr>
                      <w:rFonts w:ascii="Calibri" w:hAnsi="Calibri" w:eastAsia="Times New Roman" w:cs="Calibri"/>
                      <w:b/>
                      <w:bCs/>
                      <w:color w:val="000000"/>
                      <w:lang w:val="en-GB" w:eastAsia="en-GB"/>
                    </w:rPr>
                  </w:pPr>
                  <w:r w:rsidRPr="00703ADF">
                    <w:rPr>
                      <w:rFonts w:ascii="Calibri" w:hAnsi="Calibri" w:eastAsia="Times New Roman" w:cs="Calibri"/>
                      <w:b/>
                      <w:bCs/>
                      <w:color w:val="000000"/>
                      <w:lang w:val="en-GB" w:eastAsia="en-GB"/>
                    </w:rPr>
                    <w:t>Change</w:t>
                  </w:r>
                </w:p>
              </w:tc>
              <w:tc>
                <w:tcPr>
                  <w:tcW w:w="960" w:type="dxa"/>
                  <w:tcBorders>
                    <w:top w:val="single" w:color="auto" w:sz="4" w:space="0"/>
                    <w:left w:val="nil"/>
                    <w:bottom w:val="single" w:color="auto" w:sz="4" w:space="0"/>
                    <w:right w:val="single" w:color="auto" w:sz="4" w:space="0"/>
                  </w:tcBorders>
                  <w:shd w:val="clear" w:color="000000" w:fill="D9D9D9"/>
                  <w:vAlign w:val="bottom"/>
                  <w:hideMark/>
                </w:tcPr>
                <w:p w:rsidRPr="00703ADF" w:rsidR="00703ADF" w:rsidP="00703ADF" w:rsidRDefault="00703ADF" w14:paraId="37F73EBD" w14:textId="77777777">
                  <w:pPr>
                    <w:widowControl/>
                    <w:autoSpaceDE/>
                    <w:autoSpaceDN/>
                    <w:jc w:val="center"/>
                    <w:rPr>
                      <w:rFonts w:ascii="Calibri" w:hAnsi="Calibri" w:eastAsia="Times New Roman" w:cs="Calibri"/>
                      <w:b/>
                      <w:bCs/>
                      <w:color w:val="000000"/>
                      <w:lang w:val="en-GB" w:eastAsia="en-GB"/>
                    </w:rPr>
                  </w:pPr>
                  <w:r w:rsidRPr="00703ADF">
                    <w:rPr>
                      <w:rFonts w:ascii="Calibri" w:hAnsi="Calibri" w:eastAsia="Times New Roman" w:cs="Calibri"/>
                      <w:b/>
                      <w:bCs/>
                      <w:color w:val="000000"/>
                      <w:lang w:val="en-GB" w:eastAsia="en-GB"/>
                    </w:rPr>
                    <w:t>% Change</w:t>
                  </w:r>
                </w:p>
              </w:tc>
            </w:tr>
            <w:tr w:rsidRPr="00703ADF" w:rsidR="00703ADF" w:rsidTr="00703ADF" w14:paraId="653F49A4" w14:textId="77777777">
              <w:trPr>
                <w:trHeight w:val="300"/>
              </w:trPr>
              <w:tc>
                <w:tcPr>
                  <w:tcW w:w="4720" w:type="dxa"/>
                  <w:tcBorders>
                    <w:top w:val="nil"/>
                    <w:left w:val="single" w:color="auto" w:sz="4" w:space="0"/>
                    <w:bottom w:val="single" w:color="auto" w:sz="4" w:space="0"/>
                    <w:right w:val="single" w:color="auto" w:sz="4" w:space="0"/>
                  </w:tcBorders>
                  <w:shd w:val="clear" w:color="auto" w:fill="auto"/>
                  <w:noWrap/>
                  <w:vAlign w:val="bottom"/>
                  <w:hideMark/>
                </w:tcPr>
                <w:p w:rsidRPr="00703ADF" w:rsidR="00703ADF" w:rsidP="00703ADF" w:rsidRDefault="00703ADF" w14:paraId="4E3B4FEF" w14:textId="77777777">
                  <w:pPr>
                    <w:widowControl/>
                    <w:autoSpaceDE/>
                    <w:autoSpaceDN/>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Devolved Formula Capital</w:t>
                  </w:r>
                </w:p>
              </w:tc>
              <w:tc>
                <w:tcPr>
                  <w:tcW w:w="94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54766B4D"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104,391</w:t>
                  </w:r>
                </w:p>
              </w:tc>
              <w:tc>
                <w:tcPr>
                  <w:tcW w:w="100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5DFF3CE4"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85,415</w:t>
                  </w:r>
                </w:p>
              </w:tc>
              <w:tc>
                <w:tcPr>
                  <w:tcW w:w="94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23CFE174"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FF0000"/>
                      <w:lang w:val="en-GB" w:eastAsia="en-GB"/>
                    </w:rPr>
                    <w:t xml:space="preserve">-18,976 </w:t>
                  </w:r>
                </w:p>
              </w:tc>
              <w:tc>
                <w:tcPr>
                  <w:tcW w:w="96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7908E4D2" w14:textId="77777777">
                  <w:pPr>
                    <w:widowControl/>
                    <w:autoSpaceDE/>
                    <w:autoSpaceDN/>
                    <w:jc w:val="right"/>
                    <w:rPr>
                      <w:rFonts w:ascii="Calibri" w:hAnsi="Calibri" w:eastAsia="Times New Roman" w:cs="Calibri"/>
                      <w:color w:val="FF0000"/>
                      <w:lang w:val="en-GB" w:eastAsia="en-GB"/>
                    </w:rPr>
                  </w:pPr>
                  <w:r w:rsidRPr="00703ADF">
                    <w:rPr>
                      <w:rFonts w:ascii="Calibri" w:hAnsi="Calibri" w:eastAsia="Times New Roman" w:cs="Calibri"/>
                      <w:color w:val="FF0000"/>
                      <w:lang w:val="en-GB" w:eastAsia="en-GB"/>
                    </w:rPr>
                    <w:t>-18%</w:t>
                  </w:r>
                </w:p>
              </w:tc>
            </w:tr>
            <w:tr w:rsidRPr="00703ADF" w:rsidR="00703ADF" w:rsidTr="00703ADF" w14:paraId="25EF9D97" w14:textId="77777777">
              <w:trPr>
                <w:trHeight w:val="300"/>
              </w:trPr>
              <w:tc>
                <w:tcPr>
                  <w:tcW w:w="4720" w:type="dxa"/>
                  <w:tcBorders>
                    <w:top w:val="nil"/>
                    <w:left w:val="single" w:color="auto" w:sz="4" w:space="0"/>
                    <w:bottom w:val="single" w:color="auto" w:sz="4" w:space="0"/>
                    <w:right w:val="single" w:color="auto" w:sz="4" w:space="0"/>
                  </w:tcBorders>
                  <w:shd w:val="clear" w:color="auto" w:fill="auto"/>
                  <w:noWrap/>
                  <w:vAlign w:val="bottom"/>
                  <w:hideMark/>
                </w:tcPr>
                <w:p w:rsidRPr="00703ADF" w:rsidR="00703ADF" w:rsidP="00703ADF" w:rsidRDefault="00703ADF" w14:paraId="47F9146F" w14:textId="77777777">
                  <w:pPr>
                    <w:widowControl/>
                    <w:autoSpaceDE/>
                    <w:autoSpaceDN/>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Capital Project Funding</w:t>
                  </w:r>
                </w:p>
              </w:tc>
              <w:tc>
                <w:tcPr>
                  <w:tcW w:w="94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3991C9D4"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23,400</w:t>
                  </w:r>
                </w:p>
              </w:tc>
              <w:tc>
                <w:tcPr>
                  <w:tcW w:w="100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28F8AC40"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23,400</w:t>
                  </w:r>
                </w:p>
              </w:tc>
              <w:tc>
                <w:tcPr>
                  <w:tcW w:w="94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66F4CBBE"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 xml:space="preserve">0 </w:t>
                  </w:r>
                </w:p>
              </w:tc>
              <w:tc>
                <w:tcPr>
                  <w:tcW w:w="96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58393693"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0%</w:t>
                  </w:r>
                </w:p>
              </w:tc>
            </w:tr>
            <w:tr w:rsidRPr="00703ADF" w:rsidR="00703ADF" w:rsidTr="00703ADF" w14:paraId="393B7443" w14:textId="77777777">
              <w:trPr>
                <w:trHeight w:val="300"/>
              </w:trPr>
              <w:tc>
                <w:tcPr>
                  <w:tcW w:w="4720" w:type="dxa"/>
                  <w:tcBorders>
                    <w:top w:val="nil"/>
                    <w:left w:val="single" w:color="auto" w:sz="4" w:space="0"/>
                    <w:bottom w:val="single" w:color="auto" w:sz="4" w:space="0"/>
                    <w:right w:val="single" w:color="auto" w:sz="4" w:space="0"/>
                  </w:tcBorders>
                  <w:shd w:val="clear" w:color="auto" w:fill="auto"/>
                  <w:noWrap/>
                  <w:vAlign w:val="bottom"/>
                  <w:hideMark/>
                </w:tcPr>
                <w:p w:rsidRPr="00703ADF" w:rsidR="00703ADF" w:rsidP="00703ADF" w:rsidRDefault="00703ADF" w14:paraId="747D6AD1" w14:textId="77777777">
                  <w:pPr>
                    <w:widowControl/>
                    <w:autoSpaceDE/>
                    <w:autoSpaceDN/>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Direct Revenue Financing</w:t>
                  </w:r>
                </w:p>
              </w:tc>
              <w:tc>
                <w:tcPr>
                  <w:tcW w:w="94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0A77C047"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396,482</w:t>
                  </w:r>
                </w:p>
              </w:tc>
              <w:tc>
                <w:tcPr>
                  <w:tcW w:w="100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2F180A15"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565,365</w:t>
                  </w:r>
                </w:p>
              </w:tc>
              <w:tc>
                <w:tcPr>
                  <w:tcW w:w="94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48479A80"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 xml:space="preserve">168,883 </w:t>
                  </w:r>
                </w:p>
              </w:tc>
              <w:tc>
                <w:tcPr>
                  <w:tcW w:w="96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7DFEF64A"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43%</w:t>
                  </w:r>
                </w:p>
              </w:tc>
            </w:tr>
            <w:tr w:rsidRPr="00703ADF" w:rsidR="00703ADF" w:rsidTr="00703ADF" w14:paraId="244D15B2" w14:textId="77777777">
              <w:trPr>
                <w:trHeight w:val="300"/>
              </w:trPr>
              <w:tc>
                <w:tcPr>
                  <w:tcW w:w="4720" w:type="dxa"/>
                  <w:tcBorders>
                    <w:top w:val="nil"/>
                    <w:left w:val="single" w:color="auto" w:sz="4" w:space="0"/>
                    <w:bottom w:val="single" w:color="auto" w:sz="4" w:space="0"/>
                    <w:right w:val="single" w:color="auto" w:sz="4" w:space="0"/>
                  </w:tcBorders>
                  <w:shd w:val="clear" w:color="auto" w:fill="auto"/>
                  <w:noWrap/>
                  <w:vAlign w:val="bottom"/>
                  <w:hideMark/>
                </w:tcPr>
                <w:p w:rsidRPr="00703ADF" w:rsidR="00703ADF" w:rsidP="00703ADF" w:rsidRDefault="00703ADF" w14:paraId="38E80016" w14:textId="77777777">
                  <w:pPr>
                    <w:widowControl/>
                    <w:autoSpaceDE/>
                    <w:autoSpaceDN/>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Other Capital</w:t>
                  </w:r>
                </w:p>
              </w:tc>
              <w:tc>
                <w:tcPr>
                  <w:tcW w:w="94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37582C5A"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15,040</w:t>
                  </w:r>
                </w:p>
              </w:tc>
              <w:tc>
                <w:tcPr>
                  <w:tcW w:w="100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4CAA42CD"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691</w:t>
                  </w:r>
                </w:p>
              </w:tc>
              <w:tc>
                <w:tcPr>
                  <w:tcW w:w="94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3AD17E9A"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FF0000"/>
                      <w:lang w:val="en-GB" w:eastAsia="en-GB"/>
                    </w:rPr>
                    <w:t xml:space="preserve">-14,349 </w:t>
                  </w:r>
                </w:p>
              </w:tc>
              <w:tc>
                <w:tcPr>
                  <w:tcW w:w="96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11F2A267" w14:textId="77777777">
                  <w:pPr>
                    <w:widowControl/>
                    <w:autoSpaceDE/>
                    <w:autoSpaceDN/>
                    <w:jc w:val="right"/>
                    <w:rPr>
                      <w:rFonts w:ascii="Calibri" w:hAnsi="Calibri" w:eastAsia="Times New Roman" w:cs="Calibri"/>
                      <w:color w:val="FF0000"/>
                      <w:lang w:val="en-GB" w:eastAsia="en-GB"/>
                    </w:rPr>
                  </w:pPr>
                  <w:r w:rsidRPr="00703ADF">
                    <w:rPr>
                      <w:rFonts w:ascii="Calibri" w:hAnsi="Calibri" w:eastAsia="Times New Roman" w:cs="Calibri"/>
                      <w:color w:val="FF0000"/>
                      <w:lang w:val="en-GB" w:eastAsia="en-GB"/>
                    </w:rPr>
                    <w:t>-95%</w:t>
                  </w:r>
                </w:p>
              </w:tc>
            </w:tr>
            <w:tr w:rsidRPr="00703ADF" w:rsidR="00703ADF" w:rsidTr="00703ADF" w14:paraId="479F3DBC" w14:textId="77777777">
              <w:trPr>
                <w:trHeight w:val="300"/>
              </w:trPr>
              <w:tc>
                <w:tcPr>
                  <w:tcW w:w="4720" w:type="dxa"/>
                  <w:tcBorders>
                    <w:top w:val="nil"/>
                    <w:left w:val="nil"/>
                    <w:bottom w:val="nil"/>
                    <w:right w:val="nil"/>
                  </w:tcBorders>
                  <w:shd w:val="clear" w:color="auto" w:fill="auto"/>
                  <w:noWrap/>
                  <w:vAlign w:val="bottom"/>
                  <w:hideMark/>
                </w:tcPr>
                <w:p w:rsidRPr="00703ADF" w:rsidR="00703ADF" w:rsidP="00703ADF" w:rsidRDefault="00703ADF" w14:paraId="3C46240F" w14:textId="77777777">
                  <w:pPr>
                    <w:widowControl/>
                    <w:autoSpaceDE/>
                    <w:autoSpaceDN/>
                    <w:jc w:val="right"/>
                    <w:rPr>
                      <w:rFonts w:ascii="Calibri" w:hAnsi="Calibri" w:eastAsia="Times New Roman" w:cs="Calibri"/>
                      <w:color w:val="FF0000"/>
                      <w:lang w:val="en-GB" w:eastAsia="en-GB"/>
                    </w:rPr>
                  </w:pPr>
                </w:p>
              </w:tc>
              <w:tc>
                <w:tcPr>
                  <w:tcW w:w="940" w:type="dxa"/>
                  <w:tcBorders>
                    <w:top w:val="nil"/>
                    <w:left w:val="nil"/>
                    <w:bottom w:val="nil"/>
                    <w:right w:val="nil"/>
                  </w:tcBorders>
                  <w:shd w:val="clear" w:color="auto" w:fill="auto"/>
                  <w:noWrap/>
                  <w:vAlign w:val="bottom"/>
                  <w:hideMark/>
                </w:tcPr>
                <w:p w:rsidRPr="00703ADF" w:rsidR="00703ADF" w:rsidP="00703ADF" w:rsidRDefault="00703ADF" w14:paraId="69E2177B" w14:textId="77777777">
                  <w:pPr>
                    <w:widowControl/>
                    <w:autoSpaceDE/>
                    <w:autoSpaceDN/>
                    <w:rPr>
                      <w:rFonts w:ascii="Times New Roman" w:hAnsi="Times New Roman" w:eastAsia="Times New Roman" w:cs="Times New Roman"/>
                      <w:sz w:val="20"/>
                      <w:szCs w:val="20"/>
                      <w:lang w:val="en-GB" w:eastAsia="en-GB"/>
                    </w:rPr>
                  </w:pPr>
                </w:p>
              </w:tc>
              <w:tc>
                <w:tcPr>
                  <w:tcW w:w="1000" w:type="dxa"/>
                  <w:tcBorders>
                    <w:top w:val="nil"/>
                    <w:left w:val="nil"/>
                    <w:bottom w:val="nil"/>
                    <w:right w:val="nil"/>
                  </w:tcBorders>
                  <w:shd w:val="clear" w:color="auto" w:fill="auto"/>
                  <w:noWrap/>
                  <w:vAlign w:val="bottom"/>
                  <w:hideMark/>
                </w:tcPr>
                <w:p w:rsidRPr="00703ADF" w:rsidR="00703ADF" w:rsidP="00703ADF" w:rsidRDefault="00703ADF" w14:paraId="21ABC731" w14:textId="77777777">
                  <w:pPr>
                    <w:widowControl/>
                    <w:autoSpaceDE/>
                    <w:autoSpaceDN/>
                    <w:rPr>
                      <w:rFonts w:ascii="Times New Roman" w:hAnsi="Times New Roman" w:eastAsia="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rsidRPr="00703ADF" w:rsidR="00703ADF" w:rsidP="00703ADF" w:rsidRDefault="00703ADF" w14:paraId="56055FCB" w14:textId="77777777">
                  <w:pPr>
                    <w:widowControl/>
                    <w:autoSpaceDE/>
                    <w:autoSpaceDN/>
                    <w:rPr>
                      <w:rFonts w:ascii="Times New Roman" w:hAnsi="Times New Roman" w:eastAsia="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rsidRPr="00703ADF" w:rsidR="00703ADF" w:rsidP="00703ADF" w:rsidRDefault="00703ADF" w14:paraId="2738C30B" w14:textId="77777777">
                  <w:pPr>
                    <w:widowControl/>
                    <w:autoSpaceDE/>
                    <w:autoSpaceDN/>
                    <w:rPr>
                      <w:rFonts w:ascii="Times New Roman" w:hAnsi="Times New Roman" w:eastAsia="Times New Roman" w:cs="Times New Roman"/>
                      <w:sz w:val="20"/>
                      <w:szCs w:val="20"/>
                      <w:lang w:val="en-GB" w:eastAsia="en-GB"/>
                    </w:rPr>
                  </w:pPr>
                </w:p>
              </w:tc>
            </w:tr>
            <w:tr w:rsidRPr="00703ADF" w:rsidR="00703ADF" w:rsidTr="00703ADF" w14:paraId="35F6FADE" w14:textId="77777777">
              <w:trPr>
                <w:trHeight w:val="600"/>
              </w:trPr>
              <w:tc>
                <w:tcPr>
                  <w:tcW w:w="472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703ADF" w:rsidR="00703ADF" w:rsidP="00703ADF" w:rsidRDefault="00703ADF" w14:paraId="43102CBD" w14:textId="77777777">
                  <w:pPr>
                    <w:widowControl/>
                    <w:autoSpaceDE/>
                    <w:autoSpaceDN/>
                    <w:rPr>
                      <w:rFonts w:ascii="Calibri" w:hAnsi="Calibri" w:eastAsia="Times New Roman" w:cs="Calibri"/>
                      <w:b/>
                      <w:bCs/>
                      <w:color w:val="000000"/>
                      <w:lang w:val="en-GB" w:eastAsia="en-GB"/>
                    </w:rPr>
                  </w:pPr>
                  <w:r w:rsidRPr="00703ADF">
                    <w:rPr>
                      <w:rFonts w:ascii="Calibri" w:hAnsi="Calibri" w:eastAsia="Times New Roman" w:cs="Calibri"/>
                      <w:b/>
                      <w:bCs/>
                      <w:color w:val="000000"/>
                      <w:lang w:val="en-GB" w:eastAsia="en-GB"/>
                    </w:rPr>
                    <w:t>Secondary Source of Funding</w:t>
                  </w:r>
                </w:p>
              </w:tc>
              <w:tc>
                <w:tcPr>
                  <w:tcW w:w="940" w:type="dxa"/>
                  <w:tcBorders>
                    <w:top w:val="single" w:color="auto" w:sz="4" w:space="0"/>
                    <w:left w:val="nil"/>
                    <w:bottom w:val="single" w:color="auto" w:sz="4" w:space="0"/>
                    <w:right w:val="single" w:color="auto" w:sz="4" w:space="0"/>
                  </w:tcBorders>
                  <w:shd w:val="clear" w:color="000000" w:fill="D9D9D9"/>
                  <w:vAlign w:val="bottom"/>
                  <w:hideMark/>
                </w:tcPr>
                <w:p w:rsidRPr="00703ADF" w:rsidR="00703ADF" w:rsidP="00703ADF" w:rsidRDefault="00703ADF" w14:paraId="5E912786" w14:textId="77777777">
                  <w:pPr>
                    <w:widowControl/>
                    <w:autoSpaceDE/>
                    <w:autoSpaceDN/>
                    <w:jc w:val="center"/>
                    <w:rPr>
                      <w:rFonts w:ascii="Calibri" w:hAnsi="Calibri" w:eastAsia="Times New Roman" w:cs="Calibri"/>
                      <w:b/>
                      <w:bCs/>
                      <w:color w:val="000000"/>
                      <w:lang w:val="en-GB" w:eastAsia="en-GB"/>
                    </w:rPr>
                  </w:pPr>
                  <w:r w:rsidRPr="00703ADF">
                    <w:rPr>
                      <w:rFonts w:ascii="Calibri" w:hAnsi="Calibri" w:eastAsia="Times New Roman" w:cs="Calibri"/>
                      <w:b/>
                      <w:bCs/>
                      <w:color w:val="000000"/>
                      <w:lang w:val="en-GB" w:eastAsia="en-GB"/>
                    </w:rPr>
                    <w:t>Opening Balance</w:t>
                  </w:r>
                </w:p>
              </w:tc>
              <w:tc>
                <w:tcPr>
                  <w:tcW w:w="1000" w:type="dxa"/>
                  <w:tcBorders>
                    <w:top w:val="single" w:color="auto" w:sz="4" w:space="0"/>
                    <w:left w:val="nil"/>
                    <w:bottom w:val="single" w:color="auto" w:sz="4" w:space="0"/>
                    <w:right w:val="single" w:color="auto" w:sz="4" w:space="0"/>
                  </w:tcBorders>
                  <w:shd w:val="clear" w:color="000000" w:fill="D9D9D9"/>
                  <w:vAlign w:val="bottom"/>
                  <w:hideMark/>
                </w:tcPr>
                <w:p w:rsidRPr="00703ADF" w:rsidR="00703ADF" w:rsidP="00703ADF" w:rsidRDefault="00703ADF" w14:paraId="01A629DB" w14:textId="77777777">
                  <w:pPr>
                    <w:widowControl/>
                    <w:autoSpaceDE/>
                    <w:autoSpaceDN/>
                    <w:jc w:val="center"/>
                    <w:rPr>
                      <w:rFonts w:ascii="Calibri" w:hAnsi="Calibri" w:eastAsia="Times New Roman" w:cs="Calibri"/>
                      <w:b/>
                      <w:bCs/>
                      <w:color w:val="000000"/>
                      <w:lang w:val="en-GB" w:eastAsia="en-GB"/>
                    </w:rPr>
                  </w:pPr>
                  <w:r w:rsidRPr="00703ADF">
                    <w:rPr>
                      <w:rFonts w:ascii="Calibri" w:hAnsi="Calibri" w:eastAsia="Times New Roman" w:cs="Calibri"/>
                      <w:b/>
                      <w:bCs/>
                      <w:color w:val="000000"/>
                      <w:lang w:val="en-GB" w:eastAsia="en-GB"/>
                    </w:rPr>
                    <w:t>Closing Balance</w:t>
                  </w:r>
                </w:p>
              </w:tc>
              <w:tc>
                <w:tcPr>
                  <w:tcW w:w="940" w:type="dxa"/>
                  <w:tcBorders>
                    <w:top w:val="single" w:color="auto" w:sz="4" w:space="0"/>
                    <w:left w:val="nil"/>
                    <w:bottom w:val="single" w:color="auto" w:sz="4" w:space="0"/>
                    <w:right w:val="single" w:color="auto" w:sz="4" w:space="0"/>
                  </w:tcBorders>
                  <w:shd w:val="clear" w:color="000000" w:fill="D9D9D9"/>
                  <w:vAlign w:val="bottom"/>
                  <w:hideMark/>
                </w:tcPr>
                <w:p w:rsidRPr="00703ADF" w:rsidR="00703ADF" w:rsidP="00703ADF" w:rsidRDefault="00703ADF" w14:paraId="5EA078CB" w14:textId="77777777">
                  <w:pPr>
                    <w:widowControl/>
                    <w:autoSpaceDE/>
                    <w:autoSpaceDN/>
                    <w:jc w:val="center"/>
                    <w:rPr>
                      <w:rFonts w:ascii="Calibri" w:hAnsi="Calibri" w:eastAsia="Times New Roman" w:cs="Calibri"/>
                      <w:b/>
                      <w:bCs/>
                      <w:color w:val="000000"/>
                      <w:lang w:val="en-GB" w:eastAsia="en-GB"/>
                    </w:rPr>
                  </w:pPr>
                  <w:r w:rsidRPr="00703ADF">
                    <w:rPr>
                      <w:rFonts w:ascii="Calibri" w:hAnsi="Calibri" w:eastAsia="Times New Roman" w:cs="Calibri"/>
                      <w:b/>
                      <w:bCs/>
                      <w:color w:val="000000"/>
                      <w:lang w:val="en-GB" w:eastAsia="en-GB"/>
                    </w:rPr>
                    <w:t>Change</w:t>
                  </w:r>
                </w:p>
              </w:tc>
              <w:tc>
                <w:tcPr>
                  <w:tcW w:w="960" w:type="dxa"/>
                  <w:tcBorders>
                    <w:top w:val="single" w:color="auto" w:sz="4" w:space="0"/>
                    <w:left w:val="nil"/>
                    <w:bottom w:val="single" w:color="auto" w:sz="4" w:space="0"/>
                    <w:right w:val="single" w:color="auto" w:sz="4" w:space="0"/>
                  </w:tcBorders>
                  <w:shd w:val="clear" w:color="000000" w:fill="D9D9D9"/>
                  <w:vAlign w:val="bottom"/>
                  <w:hideMark/>
                </w:tcPr>
                <w:p w:rsidRPr="00703ADF" w:rsidR="00703ADF" w:rsidP="00703ADF" w:rsidRDefault="00703ADF" w14:paraId="4D46F377" w14:textId="77777777">
                  <w:pPr>
                    <w:widowControl/>
                    <w:autoSpaceDE/>
                    <w:autoSpaceDN/>
                    <w:jc w:val="center"/>
                    <w:rPr>
                      <w:rFonts w:ascii="Calibri" w:hAnsi="Calibri" w:eastAsia="Times New Roman" w:cs="Calibri"/>
                      <w:b/>
                      <w:bCs/>
                      <w:color w:val="000000"/>
                      <w:lang w:val="en-GB" w:eastAsia="en-GB"/>
                    </w:rPr>
                  </w:pPr>
                  <w:r w:rsidRPr="00703ADF">
                    <w:rPr>
                      <w:rFonts w:ascii="Calibri" w:hAnsi="Calibri" w:eastAsia="Times New Roman" w:cs="Calibri"/>
                      <w:b/>
                      <w:bCs/>
                      <w:color w:val="000000"/>
                      <w:lang w:val="en-GB" w:eastAsia="en-GB"/>
                    </w:rPr>
                    <w:t>% Change</w:t>
                  </w:r>
                </w:p>
              </w:tc>
            </w:tr>
            <w:tr w:rsidRPr="00703ADF" w:rsidR="00703ADF" w:rsidTr="00703ADF" w14:paraId="0D69B9E4" w14:textId="77777777">
              <w:trPr>
                <w:trHeight w:val="300"/>
              </w:trPr>
              <w:tc>
                <w:tcPr>
                  <w:tcW w:w="4720" w:type="dxa"/>
                  <w:tcBorders>
                    <w:top w:val="nil"/>
                    <w:left w:val="single" w:color="auto" w:sz="4" w:space="0"/>
                    <w:bottom w:val="single" w:color="auto" w:sz="4" w:space="0"/>
                    <w:right w:val="single" w:color="auto" w:sz="4" w:space="0"/>
                  </w:tcBorders>
                  <w:shd w:val="clear" w:color="auto" w:fill="auto"/>
                  <w:noWrap/>
                  <w:vAlign w:val="bottom"/>
                  <w:hideMark/>
                </w:tcPr>
                <w:p w:rsidRPr="00703ADF" w:rsidR="00703ADF" w:rsidP="00703ADF" w:rsidRDefault="00703ADF" w14:paraId="5F02D9EF" w14:textId="77777777">
                  <w:pPr>
                    <w:widowControl/>
                    <w:autoSpaceDE/>
                    <w:autoSpaceDN/>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Devolved Formula Capital</w:t>
                  </w:r>
                </w:p>
              </w:tc>
              <w:tc>
                <w:tcPr>
                  <w:tcW w:w="94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0B6F8403"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28,507</w:t>
                  </w:r>
                </w:p>
              </w:tc>
              <w:tc>
                <w:tcPr>
                  <w:tcW w:w="100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502826EE"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6,824</w:t>
                  </w:r>
                </w:p>
              </w:tc>
              <w:tc>
                <w:tcPr>
                  <w:tcW w:w="94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2F6A4903"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FF0000"/>
                      <w:lang w:val="en-GB" w:eastAsia="en-GB"/>
                    </w:rPr>
                    <w:t xml:space="preserve">-21,683 </w:t>
                  </w:r>
                </w:p>
              </w:tc>
              <w:tc>
                <w:tcPr>
                  <w:tcW w:w="96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1B7FB5AF" w14:textId="77777777">
                  <w:pPr>
                    <w:widowControl/>
                    <w:autoSpaceDE/>
                    <w:autoSpaceDN/>
                    <w:jc w:val="right"/>
                    <w:rPr>
                      <w:rFonts w:ascii="Calibri" w:hAnsi="Calibri" w:eastAsia="Times New Roman" w:cs="Calibri"/>
                      <w:color w:val="FF0000"/>
                      <w:lang w:val="en-GB" w:eastAsia="en-GB"/>
                    </w:rPr>
                  </w:pPr>
                  <w:r w:rsidRPr="00703ADF">
                    <w:rPr>
                      <w:rFonts w:ascii="Calibri" w:hAnsi="Calibri" w:eastAsia="Times New Roman" w:cs="Calibri"/>
                      <w:color w:val="FF0000"/>
                      <w:lang w:val="en-GB" w:eastAsia="en-GB"/>
                    </w:rPr>
                    <w:t>-76%</w:t>
                  </w:r>
                </w:p>
              </w:tc>
            </w:tr>
            <w:tr w:rsidRPr="00703ADF" w:rsidR="00703ADF" w:rsidTr="00703ADF" w14:paraId="181F2FEC" w14:textId="77777777">
              <w:trPr>
                <w:trHeight w:val="300"/>
              </w:trPr>
              <w:tc>
                <w:tcPr>
                  <w:tcW w:w="4720" w:type="dxa"/>
                  <w:tcBorders>
                    <w:top w:val="nil"/>
                    <w:left w:val="single" w:color="auto" w:sz="4" w:space="0"/>
                    <w:bottom w:val="single" w:color="auto" w:sz="4" w:space="0"/>
                    <w:right w:val="single" w:color="auto" w:sz="4" w:space="0"/>
                  </w:tcBorders>
                  <w:shd w:val="clear" w:color="auto" w:fill="auto"/>
                  <w:noWrap/>
                  <w:vAlign w:val="bottom"/>
                  <w:hideMark/>
                </w:tcPr>
                <w:p w:rsidRPr="00703ADF" w:rsidR="00703ADF" w:rsidP="00703ADF" w:rsidRDefault="00703ADF" w14:paraId="2C0D25F6" w14:textId="77777777">
                  <w:pPr>
                    <w:widowControl/>
                    <w:autoSpaceDE/>
                    <w:autoSpaceDN/>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Capital Project Funding</w:t>
                  </w:r>
                </w:p>
              </w:tc>
              <w:tc>
                <w:tcPr>
                  <w:tcW w:w="94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0F7628CF"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0</w:t>
                  </w:r>
                </w:p>
              </w:tc>
              <w:tc>
                <w:tcPr>
                  <w:tcW w:w="100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430849E4"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0</w:t>
                  </w:r>
                </w:p>
              </w:tc>
              <w:tc>
                <w:tcPr>
                  <w:tcW w:w="94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30078E9D"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 xml:space="preserve">0 </w:t>
                  </w:r>
                </w:p>
              </w:tc>
              <w:tc>
                <w:tcPr>
                  <w:tcW w:w="96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2CF6EE42" w14:textId="77777777">
                  <w:pPr>
                    <w:widowControl/>
                    <w:autoSpaceDE/>
                    <w:autoSpaceDN/>
                    <w:jc w:val="right"/>
                    <w:rPr>
                      <w:rFonts w:ascii="Calibri" w:hAnsi="Calibri" w:eastAsia="Times New Roman" w:cs="Calibri"/>
                      <w:lang w:val="en-GB" w:eastAsia="en-GB"/>
                    </w:rPr>
                  </w:pPr>
                  <w:r w:rsidRPr="00703ADF">
                    <w:rPr>
                      <w:rFonts w:ascii="Calibri" w:hAnsi="Calibri" w:eastAsia="Times New Roman" w:cs="Calibri"/>
                      <w:lang w:val="en-GB" w:eastAsia="en-GB"/>
                    </w:rPr>
                    <w:t>0%</w:t>
                  </w:r>
                </w:p>
              </w:tc>
            </w:tr>
            <w:tr w:rsidRPr="00703ADF" w:rsidR="00703ADF" w:rsidTr="00703ADF" w14:paraId="5BA32FD4" w14:textId="77777777">
              <w:trPr>
                <w:trHeight w:val="300"/>
              </w:trPr>
              <w:tc>
                <w:tcPr>
                  <w:tcW w:w="4720" w:type="dxa"/>
                  <w:tcBorders>
                    <w:top w:val="nil"/>
                    <w:left w:val="single" w:color="auto" w:sz="4" w:space="0"/>
                    <w:bottom w:val="single" w:color="auto" w:sz="4" w:space="0"/>
                    <w:right w:val="single" w:color="auto" w:sz="4" w:space="0"/>
                  </w:tcBorders>
                  <w:shd w:val="clear" w:color="auto" w:fill="auto"/>
                  <w:noWrap/>
                  <w:vAlign w:val="bottom"/>
                  <w:hideMark/>
                </w:tcPr>
                <w:p w:rsidRPr="00703ADF" w:rsidR="00703ADF" w:rsidP="00703ADF" w:rsidRDefault="00703ADF" w14:paraId="7F7E3152" w14:textId="77777777">
                  <w:pPr>
                    <w:widowControl/>
                    <w:autoSpaceDE/>
                    <w:autoSpaceDN/>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Direct Revenue Financing</w:t>
                  </w:r>
                </w:p>
              </w:tc>
              <w:tc>
                <w:tcPr>
                  <w:tcW w:w="94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273706A9"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0</w:t>
                  </w:r>
                </w:p>
              </w:tc>
              <w:tc>
                <w:tcPr>
                  <w:tcW w:w="100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05073C38"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0</w:t>
                  </w:r>
                </w:p>
              </w:tc>
              <w:tc>
                <w:tcPr>
                  <w:tcW w:w="94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019DD404"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 xml:space="preserve">0 </w:t>
                  </w:r>
                </w:p>
              </w:tc>
              <w:tc>
                <w:tcPr>
                  <w:tcW w:w="96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1EDB3C40" w14:textId="77777777">
                  <w:pPr>
                    <w:widowControl/>
                    <w:autoSpaceDE/>
                    <w:autoSpaceDN/>
                    <w:jc w:val="right"/>
                    <w:rPr>
                      <w:rFonts w:ascii="Calibri" w:hAnsi="Calibri" w:eastAsia="Times New Roman" w:cs="Calibri"/>
                      <w:lang w:val="en-GB" w:eastAsia="en-GB"/>
                    </w:rPr>
                  </w:pPr>
                  <w:r w:rsidRPr="00703ADF">
                    <w:rPr>
                      <w:rFonts w:ascii="Calibri" w:hAnsi="Calibri" w:eastAsia="Times New Roman" w:cs="Calibri"/>
                      <w:lang w:val="en-GB" w:eastAsia="en-GB"/>
                    </w:rPr>
                    <w:t>0%</w:t>
                  </w:r>
                </w:p>
              </w:tc>
            </w:tr>
            <w:tr w:rsidRPr="00703ADF" w:rsidR="00703ADF" w:rsidTr="00703ADF" w14:paraId="24A81DB8" w14:textId="77777777">
              <w:trPr>
                <w:trHeight w:val="300"/>
              </w:trPr>
              <w:tc>
                <w:tcPr>
                  <w:tcW w:w="4720" w:type="dxa"/>
                  <w:tcBorders>
                    <w:top w:val="nil"/>
                    <w:left w:val="single" w:color="auto" w:sz="4" w:space="0"/>
                    <w:bottom w:val="single" w:color="auto" w:sz="4" w:space="0"/>
                    <w:right w:val="single" w:color="auto" w:sz="4" w:space="0"/>
                  </w:tcBorders>
                  <w:shd w:val="clear" w:color="auto" w:fill="auto"/>
                  <w:noWrap/>
                  <w:vAlign w:val="bottom"/>
                  <w:hideMark/>
                </w:tcPr>
                <w:p w:rsidRPr="00703ADF" w:rsidR="00703ADF" w:rsidP="00703ADF" w:rsidRDefault="00703ADF" w14:paraId="1E6EAF6C" w14:textId="77777777">
                  <w:pPr>
                    <w:widowControl/>
                    <w:autoSpaceDE/>
                    <w:autoSpaceDN/>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Other Capital</w:t>
                  </w:r>
                </w:p>
              </w:tc>
              <w:tc>
                <w:tcPr>
                  <w:tcW w:w="94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174C8479"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0</w:t>
                  </w:r>
                </w:p>
              </w:tc>
              <w:tc>
                <w:tcPr>
                  <w:tcW w:w="100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6D82DF4F"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20,932</w:t>
                  </w:r>
                </w:p>
              </w:tc>
              <w:tc>
                <w:tcPr>
                  <w:tcW w:w="94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50BDD33B"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 xml:space="preserve">20,932 </w:t>
                  </w:r>
                </w:p>
              </w:tc>
              <w:tc>
                <w:tcPr>
                  <w:tcW w:w="96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1D5D7041" w14:textId="77777777">
                  <w:pPr>
                    <w:widowControl/>
                    <w:autoSpaceDE/>
                    <w:autoSpaceDN/>
                    <w:jc w:val="right"/>
                    <w:rPr>
                      <w:rFonts w:ascii="Calibri" w:hAnsi="Calibri" w:eastAsia="Times New Roman" w:cs="Calibri"/>
                      <w:lang w:val="en-GB" w:eastAsia="en-GB"/>
                    </w:rPr>
                  </w:pPr>
                  <w:r w:rsidRPr="00703ADF">
                    <w:rPr>
                      <w:rFonts w:ascii="Calibri" w:hAnsi="Calibri" w:eastAsia="Times New Roman" w:cs="Calibri"/>
                      <w:lang w:val="en-GB" w:eastAsia="en-GB"/>
                    </w:rPr>
                    <w:t>100%</w:t>
                  </w:r>
                </w:p>
              </w:tc>
            </w:tr>
            <w:tr w:rsidRPr="00703ADF" w:rsidR="00703ADF" w:rsidTr="00703ADF" w14:paraId="2BB4966F" w14:textId="77777777">
              <w:trPr>
                <w:trHeight w:val="300"/>
              </w:trPr>
              <w:tc>
                <w:tcPr>
                  <w:tcW w:w="4720" w:type="dxa"/>
                  <w:tcBorders>
                    <w:top w:val="nil"/>
                    <w:left w:val="nil"/>
                    <w:bottom w:val="nil"/>
                    <w:right w:val="nil"/>
                  </w:tcBorders>
                  <w:shd w:val="clear" w:color="auto" w:fill="auto"/>
                  <w:noWrap/>
                  <w:vAlign w:val="bottom"/>
                  <w:hideMark/>
                </w:tcPr>
                <w:p w:rsidRPr="00703ADF" w:rsidR="00703ADF" w:rsidP="00703ADF" w:rsidRDefault="00703ADF" w14:paraId="6088E6D8" w14:textId="77777777">
                  <w:pPr>
                    <w:widowControl/>
                    <w:autoSpaceDE/>
                    <w:autoSpaceDN/>
                    <w:jc w:val="right"/>
                    <w:rPr>
                      <w:rFonts w:ascii="Calibri" w:hAnsi="Calibri" w:eastAsia="Times New Roman" w:cs="Calibri"/>
                      <w:lang w:val="en-GB" w:eastAsia="en-GB"/>
                    </w:rPr>
                  </w:pPr>
                </w:p>
              </w:tc>
              <w:tc>
                <w:tcPr>
                  <w:tcW w:w="940" w:type="dxa"/>
                  <w:tcBorders>
                    <w:top w:val="nil"/>
                    <w:left w:val="nil"/>
                    <w:bottom w:val="nil"/>
                    <w:right w:val="nil"/>
                  </w:tcBorders>
                  <w:shd w:val="clear" w:color="auto" w:fill="auto"/>
                  <w:noWrap/>
                  <w:vAlign w:val="bottom"/>
                  <w:hideMark/>
                </w:tcPr>
                <w:p w:rsidRPr="00703ADF" w:rsidR="00703ADF" w:rsidP="00703ADF" w:rsidRDefault="00703ADF" w14:paraId="7F0CE5D9" w14:textId="77777777">
                  <w:pPr>
                    <w:widowControl/>
                    <w:autoSpaceDE/>
                    <w:autoSpaceDN/>
                    <w:rPr>
                      <w:rFonts w:ascii="Times New Roman" w:hAnsi="Times New Roman" w:eastAsia="Times New Roman" w:cs="Times New Roman"/>
                      <w:sz w:val="20"/>
                      <w:szCs w:val="20"/>
                      <w:lang w:val="en-GB" w:eastAsia="en-GB"/>
                    </w:rPr>
                  </w:pPr>
                </w:p>
              </w:tc>
              <w:tc>
                <w:tcPr>
                  <w:tcW w:w="1000" w:type="dxa"/>
                  <w:tcBorders>
                    <w:top w:val="nil"/>
                    <w:left w:val="nil"/>
                    <w:bottom w:val="nil"/>
                    <w:right w:val="nil"/>
                  </w:tcBorders>
                  <w:shd w:val="clear" w:color="auto" w:fill="auto"/>
                  <w:noWrap/>
                  <w:vAlign w:val="bottom"/>
                  <w:hideMark/>
                </w:tcPr>
                <w:p w:rsidRPr="00703ADF" w:rsidR="00703ADF" w:rsidP="00703ADF" w:rsidRDefault="00703ADF" w14:paraId="2CDABFED" w14:textId="77777777">
                  <w:pPr>
                    <w:widowControl/>
                    <w:autoSpaceDE/>
                    <w:autoSpaceDN/>
                    <w:rPr>
                      <w:rFonts w:ascii="Times New Roman" w:hAnsi="Times New Roman" w:eastAsia="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rsidRPr="00703ADF" w:rsidR="00703ADF" w:rsidP="00703ADF" w:rsidRDefault="00703ADF" w14:paraId="5F01B7F2" w14:textId="77777777">
                  <w:pPr>
                    <w:widowControl/>
                    <w:autoSpaceDE/>
                    <w:autoSpaceDN/>
                    <w:rPr>
                      <w:rFonts w:ascii="Times New Roman" w:hAnsi="Times New Roman" w:eastAsia="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rsidRPr="00703ADF" w:rsidR="00703ADF" w:rsidP="00703ADF" w:rsidRDefault="00703ADF" w14:paraId="5FFA9860" w14:textId="77777777">
                  <w:pPr>
                    <w:widowControl/>
                    <w:autoSpaceDE/>
                    <w:autoSpaceDN/>
                    <w:rPr>
                      <w:rFonts w:ascii="Times New Roman" w:hAnsi="Times New Roman" w:eastAsia="Times New Roman" w:cs="Times New Roman"/>
                      <w:sz w:val="20"/>
                      <w:szCs w:val="20"/>
                      <w:lang w:val="en-GB" w:eastAsia="en-GB"/>
                    </w:rPr>
                  </w:pPr>
                </w:p>
              </w:tc>
            </w:tr>
            <w:tr w:rsidRPr="00703ADF" w:rsidR="00703ADF" w:rsidTr="00703ADF" w14:paraId="60D3E39F" w14:textId="77777777">
              <w:trPr>
                <w:trHeight w:val="600"/>
              </w:trPr>
              <w:tc>
                <w:tcPr>
                  <w:tcW w:w="472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703ADF" w:rsidR="00703ADF" w:rsidP="00703ADF" w:rsidRDefault="00703ADF" w14:paraId="49FBE7F5" w14:textId="77777777">
                  <w:pPr>
                    <w:widowControl/>
                    <w:autoSpaceDE/>
                    <w:autoSpaceDN/>
                    <w:rPr>
                      <w:rFonts w:ascii="Calibri" w:hAnsi="Calibri" w:eastAsia="Times New Roman" w:cs="Calibri"/>
                      <w:b/>
                      <w:bCs/>
                      <w:color w:val="000000"/>
                      <w:lang w:val="en-GB" w:eastAsia="en-GB"/>
                    </w:rPr>
                  </w:pPr>
                  <w:r w:rsidRPr="00703ADF">
                    <w:rPr>
                      <w:rFonts w:ascii="Calibri" w:hAnsi="Calibri" w:eastAsia="Times New Roman" w:cs="Calibri"/>
                      <w:b/>
                      <w:bCs/>
                      <w:color w:val="000000"/>
                      <w:lang w:val="en-GB" w:eastAsia="en-GB"/>
                    </w:rPr>
                    <w:t>Special Source of Funding</w:t>
                  </w:r>
                </w:p>
              </w:tc>
              <w:tc>
                <w:tcPr>
                  <w:tcW w:w="940" w:type="dxa"/>
                  <w:tcBorders>
                    <w:top w:val="single" w:color="auto" w:sz="4" w:space="0"/>
                    <w:left w:val="nil"/>
                    <w:bottom w:val="single" w:color="auto" w:sz="4" w:space="0"/>
                    <w:right w:val="single" w:color="auto" w:sz="4" w:space="0"/>
                  </w:tcBorders>
                  <w:shd w:val="clear" w:color="000000" w:fill="D9D9D9"/>
                  <w:vAlign w:val="bottom"/>
                  <w:hideMark/>
                </w:tcPr>
                <w:p w:rsidRPr="00703ADF" w:rsidR="00703ADF" w:rsidP="00703ADF" w:rsidRDefault="00703ADF" w14:paraId="5FFE6E5B" w14:textId="77777777">
                  <w:pPr>
                    <w:widowControl/>
                    <w:autoSpaceDE/>
                    <w:autoSpaceDN/>
                    <w:jc w:val="center"/>
                    <w:rPr>
                      <w:rFonts w:ascii="Calibri" w:hAnsi="Calibri" w:eastAsia="Times New Roman" w:cs="Calibri"/>
                      <w:b/>
                      <w:bCs/>
                      <w:color w:val="000000"/>
                      <w:lang w:val="en-GB" w:eastAsia="en-GB"/>
                    </w:rPr>
                  </w:pPr>
                  <w:r w:rsidRPr="00703ADF">
                    <w:rPr>
                      <w:rFonts w:ascii="Calibri" w:hAnsi="Calibri" w:eastAsia="Times New Roman" w:cs="Calibri"/>
                      <w:b/>
                      <w:bCs/>
                      <w:color w:val="000000"/>
                      <w:lang w:val="en-GB" w:eastAsia="en-GB"/>
                    </w:rPr>
                    <w:t>Opening Balance</w:t>
                  </w:r>
                </w:p>
              </w:tc>
              <w:tc>
                <w:tcPr>
                  <w:tcW w:w="1000" w:type="dxa"/>
                  <w:tcBorders>
                    <w:top w:val="single" w:color="auto" w:sz="4" w:space="0"/>
                    <w:left w:val="nil"/>
                    <w:bottom w:val="single" w:color="auto" w:sz="4" w:space="0"/>
                    <w:right w:val="single" w:color="auto" w:sz="4" w:space="0"/>
                  </w:tcBorders>
                  <w:shd w:val="clear" w:color="000000" w:fill="D9D9D9"/>
                  <w:vAlign w:val="bottom"/>
                  <w:hideMark/>
                </w:tcPr>
                <w:p w:rsidRPr="00703ADF" w:rsidR="00703ADF" w:rsidP="00703ADF" w:rsidRDefault="00703ADF" w14:paraId="3EDC766B" w14:textId="77777777">
                  <w:pPr>
                    <w:widowControl/>
                    <w:autoSpaceDE/>
                    <w:autoSpaceDN/>
                    <w:jc w:val="center"/>
                    <w:rPr>
                      <w:rFonts w:ascii="Calibri" w:hAnsi="Calibri" w:eastAsia="Times New Roman" w:cs="Calibri"/>
                      <w:b/>
                      <w:bCs/>
                      <w:color w:val="000000"/>
                      <w:lang w:val="en-GB" w:eastAsia="en-GB"/>
                    </w:rPr>
                  </w:pPr>
                  <w:r w:rsidRPr="00703ADF">
                    <w:rPr>
                      <w:rFonts w:ascii="Calibri" w:hAnsi="Calibri" w:eastAsia="Times New Roman" w:cs="Calibri"/>
                      <w:b/>
                      <w:bCs/>
                      <w:color w:val="000000"/>
                      <w:lang w:val="en-GB" w:eastAsia="en-GB"/>
                    </w:rPr>
                    <w:t>Closing Balance</w:t>
                  </w:r>
                </w:p>
              </w:tc>
              <w:tc>
                <w:tcPr>
                  <w:tcW w:w="940" w:type="dxa"/>
                  <w:tcBorders>
                    <w:top w:val="single" w:color="auto" w:sz="4" w:space="0"/>
                    <w:left w:val="nil"/>
                    <w:bottom w:val="single" w:color="auto" w:sz="4" w:space="0"/>
                    <w:right w:val="single" w:color="auto" w:sz="4" w:space="0"/>
                  </w:tcBorders>
                  <w:shd w:val="clear" w:color="000000" w:fill="D9D9D9"/>
                  <w:vAlign w:val="bottom"/>
                  <w:hideMark/>
                </w:tcPr>
                <w:p w:rsidRPr="00703ADF" w:rsidR="00703ADF" w:rsidP="00703ADF" w:rsidRDefault="00703ADF" w14:paraId="2AB7CD26" w14:textId="77777777">
                  <w:pPr>
                    <w:widowControl/>
                    <w:autoSpaceDE/>
                    <w:autoSpaceDN/>
                    <w:jc w:val="center"/>
                    <w:rPr>
                      <w:rFonts w:ascii="Calibri" w:hAnsi="Calibri" w:eastAsia="Times New Roman" w:cs="Calibri"/>
                      <w:b/>
                      <w:bCs/>
                      <w:color w:val="000000"/>
                      <w:lang w:val="en-GB" w:eastAsia="en-GB"/>
                    </w:rPr>
                  </w:pPr>
                  <w:r w:rsidRPr="00703ADF">
                    <w:rPr>
                      <w:rFonts w:ascii="Calibri" w:hAnsi="Calibri" w:eastAsia="Times New Roman" w:cs="Calibri"/>
                      <w:b/>
                      <w:bCs/>
                      <w:color w:val="000000"/>
                      <w:lang w:val="en-GB" w:eastAsia="en-GB"/>
                    </w:rPr>
                    <w:t>Change</w:t>
                  </w:r>
                </w:p>
              </w:tc>
              <w:tc>
                <w:tcPr>
                  <w:tcW w:w="960" w:type="dxa"/>
                  <w:tcBorders>
                    <w:top w:val="single" w:color="auto" w:sz="4" w:space="0"/>
                    <w:left w:val="nil"/>
                    <w:bottom w:val="single" w:color="auto" w:sz="4" w:space="0"/>
                    <w:right w:val="single" w:color="auto" w:sz="4" w:space="0"/>
                  </w:tcBorders>
                  <w:shd w:val="clear" w:color="000000" w:fill="D9D9D9"/>
                  <w:vAlign w:val="bottom"/>
                  <w:hideMark/>
                </w:tcPr>
                <w:p w:rsidRPr="00703ADF" w:rsidR="00703ADF" w:rsidP="00703ADF" w:rsidRDefault="00703ADF" w14:paraId="68460252" w14:textId="77777777">
                  <w:pPr>
                    <w:widowControl/>
                    <w:autoSpaceDE/>
                    <w:autoSpaceDN/>
                    <w:jc w:val="center"/>
                    <w:rPr>
                      <w:rFonts w:ascii="Calibri" w:hAnsi="Calibri" w:eastAsia="Times New Roman" w:cs="Calibri"/>
                      <w:b/>
                      <w:bCs/>
                      <w:color w:val="000000"/>
                      <w:lang w:val="en-GB" w:eastAsia="en-GB"/>
                    </w:rPr>
                  </w:pPr>
                  <w:r w:rsidRPr="00703ADF">
                    <w:rPr>
                      <w:rFonts w:ascii="Calibri" w:hAnsi="Calibri" w:eastAsia="Times New Roman" w:cs="Calibri"/>
                      <w:b/>
                      <w:bCs/>
                      <w:color w:val="000000"/>
                      <w:lang w:val="en-GB" w:eastAsia="en-GB"/>
                    </w:rPr>
                    <w:t>% Change</w:t>
                  </w:r>
                </w:p>
              </w:tc>
            </w:tr>
            <w:tr w:rsidRPr="00703ADF" w:rsidR="00703ADF" w:rsidTr="00703ADF" w14:paraId="2BBA6932" w14:textId="77777777">
              <w:trPr>
                <w:trHeight w:val="300"/>
              </w:trPr>
              <w:tc>
                <w:tcPr>
                  <w:tcW w:w="4720" w:type="dxa"/>
                  <w:tcBorders>
                    <w:top w:val="nil"/>
                    <w:left w:val="single" w:color="auto" w:sz="4" w:space="0"/>
                    <w:bottom w:val="single" w:color="auto" w:sz="4" w:space="0"/>
                    <w:right w:val="single" w:color="auto" w:sz="4" w:space="0"/>
                  </w:tcBorders>
                  <w:shd w:val="clear" w:color="auto" w:fill="auto"/>
                  <w:noWrap/>
                  <w:vAlign w:val="bottom"/>
                  <w:hideMark/>
                </w:tcPr>
                <w:p w:rsidRPr="00703ADF" w:rsidR="00703ADF" w:rsidP="00703ADF" w:rsidRDefault="00703ADF" w14:paraId="3BD030D1" w14:textId="77777777">
                  <w:pPr>
                    <w:widowControl/>
                    <w:autoSpaceDE/>
                    <w:autoSpaceDN/>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Devolved Formula Capital</w:t>
                  </w:r>
                </w:p>
              </w:tc>
              <w:tc>
                <w:tcPr>
                  <w:tcW w:w="94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3CED848A"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44,092</w:t>
                  </w:r>
                </w:p>
              </w:tc>
              <w:tc>
                <w:tcPr>
                  <w:tcW w:w="100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7F0267F6"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30,481</w:t>
                  </w:r>
                </w:p>
              </w:tc>
              <w:tc>
                <w:tcPr>
                  <w:tcW w:w="94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1A5B53A9"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FF0000"/>
                      <w:lang w:val="en-GB" w:eastAsia="en-GB"/>
                    </w:rPr>
                    <w:t xml:space="preserve">-13,611 </w:t>
                  </w:r>
                </w:p>
              </w:tc>
              <w:tc>
                <w:tcPr>
                  <w:tcW w:w="96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3CA547A5" w14:textId="77777777">
                  <w:pPr>
                    <w:widowControl/>
                    <w:autoSpaceDE/>
                    <w:autoSpaceDN/>
                    <w:jc w:val="right"/>
                    <w:rPr>
                      <w:rFonts w:ascii="Calibri" w:hAnsi="Calibri" w:eastAsia="Times New Roman" w:cs="Calibri"/>
                      <w:color w:val="FF0000"/>
                      <w:lang w:val="en-GB" w:eastAsia="en-GB"/>
                    </w:rPr>
                  </w:pPr>
                  <w:r w:rsidRPr="00703ADF">
                    <w:rPr>
                      <w:rFonts w:ascii="Calibri" w:hAnsi="Calibri" w:eastAsia="Times New Roman" w:cs="Calibri"/>
                      <w:color w:val="FF0000"/>
                      <w:lang w:val="en-GB" w:eastAsia="en-GB"/>
                    </w:rPr>
                    <w:t>-31%</w:t>
                  </w:r>
                </w:p>
              </w:tc>
            </w:tr>
            <w:tr w:rsidRPr="00703ADF" w:rsidR="00703ADF" w:rsidTr="00703ADF" w14:paraId="50351F3F" w14:textId="77777777">
              <w:trPr>
                <w:trHeight w:val="300"/>
              </w:trPr>
              <w:tc>
                <w:tcPr>
                  <w:tcW w:w="4720" w:type="dxa"/>
                  <w:tcBorders>
                    <w:top w:val="nil"/>
                    <w:left w:val="single" w:color="auto" w:sz="4" w:space="0"/>
                    <w:bottom w:val="single" w:color="auto" w:sz="4" w:space="0"/>
                    <w:right w:val="single" w:color="auto" w:sz="4" w:space="0"/>
                  </w:tcBorders>
                  <w:shd w:val="clear" w:color="auto" w:fill="auto"/>
                  <w:noWrap/>
                  <w:vAlign w:val="bottom"/>
                  <w:hideMark/>
                </w:tcPr>
                <w:p w:rsidRPr="00703ADF" w:rsidR="00703ADF" w:rsidP="00703ADF" w:rsidRDefault="00703ADF" w14:paraId="29627E5A" w14:textId="77777777">
                  <w:pPr>
                    <w:widowControl/>
                    <w:autoSpaceDE/>
                    <w:autoSpaceDN/>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Capital Project Funding</w:t>
                  </w:r>
                </w:p>
              </w:tc>
              <w:tc>
                <w:tcPr>
                  <w:tcW w:w="94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42961EB5"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15,629</w:t>
                  </w:r>
                </w:p>
              </w:tc>
              <w:tc>
                <w:tcPr>
                  <w:tcW w:w="100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1424E1B2"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5,719</w:t>
                  </w:r>
                </w:p>
              </w:tc>
              <w:tc>
                <w:tcPr>
                  <w:tcW w:w="94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65F31844"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FF0000"/>
                      <w:lang w:val="en-GB" w:eastAsia="en-GB"/>
                    </w:rPr>
                    <w:t xml:space="preserve">-9,910 </w:t>
                  </w:r>
                </w:p>
              </w:tc>
              <w:tc>
                <w:tcPr>
                  <w:tcW w:w="96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39F6E828" w14:textId="77777777">
                  <w:pPr>
                    <w:widowControl/>
                    <w:autoSpaceDE/>
                    <w:autoSpaceDN/>
                    <w:jc w:val="right"/>
                    <w:rPr>
                      <w:rFonts w:ascii="Calibri" w:hAnsi="Calibri" w:eastAsia="Times New Roman" w:cs="Calibri"/>
                      <w:color w:val="FF0000"/>
                      <w:lang w:val="en-GB" w:eastAsia="en-GB"/>
                    </w:rPr>
                  </w:pPr>
                  <w:r w:rsidRPr="00703ADF">
                    <w:rPr>
                      <w:rFonts w:ascii="Calibri" w:hAnsi="Calibri" w:eastAsia="Times New Roman" w:cs="Calibri"/>
                      <w:color w:val="FF0000"/>
                      <w:lang w:val="en-GB" w:eastAsia="en-GB"/>
                    </w:rPr>
                    <w:t>-63%</w:t>
                  </w:r>
                </w:p>
              </w:tc>
            </w:tr>
            <w:tr w:rsidRPr="00703ADF" w:rsidR="00703ADF" w:rsidTr="00703ADF" w14:paraId="7A741F34" w14:textId="77777777">
              <w:trPr>
                <w:trHeight w:val="300"/>
              </w:trPr>
              <w:tc>
                <w:tcPr>
                  <w:tcW w:w="4720" w:type="dxa"/>
                  <w:tcBorders>
                    <w:top w:val="nil"/>
                    <w:left w:val="single" w:color="auto" w:sz="4" w:space="0"/>
                    <w:bottom w:val="single" w:color="auto" w:sz="4" w:space="0"/>
                    <w:right w:val="single" w:color="auto" w:sz="4" w:space="0"/>
                  </w:tcBorders>
                  <w:shd w:val="clear" w:color="auto" w:fill="auto"/>
                  <w:noWrap/>
                  <w:vAlign w:val="bottom"/>
                  <w:hideMark/>
                </w:tcPr>
                <w:p w:rsidRPr="00703ADF" w:rsidR="00703ADF" w:rsidP="00703ADF" w:rsidRDefault="00703ADF" w14:paraId="20FC9020" w14:textId="77777777">
                  <w:pPr>
                    <w:widowControl/>
                    <w:autoSpaceDE/>
                    <w:autoSpaceDN/>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Direct Revenue Financing</w:t>
                  </w:r>
                </w:p>
              </w:tc>
              <w:tc>
                <w:tcPr>
                  <w:tcW w:w="94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1431E61B"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241,376</w:t>
                  </w:r>
                </w:p>
              </w:tc>
              <w:tc>
                <w:tcPr>
                  <w:tcW w:w="100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5955626A"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282,935</w:t>
                  </w:r>
                </w:p>
              </w:tc>
              <w:tc>
                <w:tcPr>
                  <w:tcW w:w="94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3BAD56B9"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 xml:space="preserve">41,559 </w:t>
                  </w:r>
                </w:p>
              </w:tc>
              <w:tc>
                <w:tcPr>
                  <w:tcW w:w="96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03E4C55C" w14:textId="77777777">
                  <w:pPr>
                    <w:widowControl/>
                    <w:autoSpaceDE/>
                    <w:autoSpaceDN/>
                    <w:jc w:val="right"/>
                    <w:rPr>
                      <w:rFonts w:ascii="Calibri" w:hAnsi="Calibri" w:eastAsia="Times New Roman" w:cs="Calibri"/>
                      <w:lang w:val="en-GB" w:eastAsia="en-GB"/>
                    </w:rPr>
                  </w:pPr>
                  <w:r w:rsidRPr="00703ADF">
                    <w:rPr>
                      <w:rFonts w:ascii="Calibri" w:hAnsi="Calibri" w:eastAsia="Times New Roman" w:cs="Calibri"/>
                      <w:lang w:val="en-GB" w:eastAsia="en-GB"/>
                    </w:rPr>
                    <w:t>17%</w:t>
                  </w:r>
                </w:p>
              </w:tc>
            </w:tr>
            <w:tr w:rsidRPr="00703ADF" w:rsidR="00703ADF" w:rsidTr="00703ADF" w14:paraId="034B7EE9" w14:textId="77777777">
              <w:trPr>
                <w:trHeight w:val="300"/>
              </w:trPr>
              <w:tc>
                <w:tcPr>
                  <w:tcW w:w="4720" w:type="dxa"/>
                  <w:tcBorders>
                    <w:top w:val="nil"/>
                    <w:left w:val="single" w:color="auto" w:sz="4" w:space="0"/>
                    <w:bottom w:val="single" w:color="auto" w:sz="4" w:space="0"/>
                    <w:right w:val="single" w:color="auto" w:sz="4" w:space="0"/>
                  </w:tcBorders>
                  <w:shd w:val="clear" w:color="auto" w:fill="auto"/>
                  <w:noWrap/>
                  <w:vAlign w:val="bottom"/>
                  <w:hideMark/>
                </w:tcPr>
                <w:p w:rsidRPr="00703ADF" w:rsidR="00703ADF" w:rsidP="00703ADF" w:rsidRDefault="00703ADF" w14:paraId="53DE045A" w14:textId="77777777">
                  <w:pPr>
                    <w:widowControl/>
                    <w:autoSpaceDE/>
                    <w:autoSpaceDN/>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Other Capital</w:t>
                  </w:r>
                </w:p>
              </w:tc>
              <w:tc>
                <w:tcPr>
                  <w:tcW w:w="94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0759D148"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9,620</w:t>
                  </w:r>
                </w:p>
              </w:tc>
              <w:tc>
                <w:tcPr>
                  <w:tcW w:w="100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1BBE6FCE"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000000"/>
                      <w:lang w:val="en-GB" w:eastAsia="en-GB"/>
                    </w:rPr>
                    <w:t>0</w:t>
                  </w:r>
                </w:p>
              </w:tc>
              <w:tc>
                <w:tcPr>
                  <w:tcW w:w="94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73D3F199" w14:textId="77777777">
                  <w:pPr>
                    <w:widowControl/>
                    <w:autoSpaceDE/>
                    <w:autoSpaceDN/>
                    <w:jc w:val="right"/>
                    <w:rPr>
                      <w:rFonts w:ascii="Calibri" w:hAnsi="Calibri" w:eastAsia="Times New Roman" w:cs="Calibri"/>
                      <w:color w:val="000000"/>
                      <w:lang w:val="en-GB" w:eastAsia="en-GB"/>
                    </w:rPr>
                  </w:pPr>
                  <w:r w:rsidRPr="00703ADF">
                    <w:rPr>
                      <w:rFonts w:ascii="Calibri" w:hAnsi="Calibri" w:eastAsia="Times New Roman" w:cs="Calibri"/>
                      <w:color w:val="FF0000"/>
                      <w:lang w:val="en-GB" w:eastAsia="en-GB"/>
                    </w:rPr>
                    <w:t xml:space="preserve">-9,620 </w:t>
                  </w:r>
                </w:p>
              </w:tc>
              <w:tc>
                <w:tcPr>
                  <w:tcW w:w="960" w:type="dxa"/>
                  <w:tcBorders>
                    <w:top w:val="nil"/>
                    <w:left w:val="nil"/>
                    <w:bottom w:val="single" w:color="auto" w:sz="4" w:space="0"/>
                    <w:right w:val="single" w:color="auto" w:sz="4" w:space="0"/>
                  </w:tcBorders>
                  <w:shd w:val="clear" w:color="auto" w:fill="auto"/>
                  <w:noWrap/>
                  <w:vAlign w:val="bottom"/>
                  <w:hideMark/>
                </w:tcPr>
                <w:p w:rsidRPr="00703ADF" w:rsidR="00703ADF" w:rsidP="00703ADF" w:rsidRDefault="00703ADF" w14:paraId="24E86A87" w14:textId="77777777">
                  <w:pPr>
                    <w:widowControl/>
                    <w:autoSpaceDE/>
                    <w:autoSpaceDN/>
                    <w:jc w:val="right"/>
                    <w:rPr>
                      <w:rFonts w:ascii="Calibri" w:hAnsi="Calibri" w:eastAsia="Times New Roman" w:cs="Calibri"/>
                      <w:color w:val="FF0000"/>
                      <w:lang w:val="en-GB" w:eastAsia="en-GB"/>
                    </w:rPr>
                  </w:pPr>
                  <w:r w:rsidRPr="00703ADF">
                    <w:rPr>
                      <w:rFonts w:ascii="Calibri" w:hAnsi="Calibri" w:eastAsia="Times New Roman" w:cs="Calibri"/>
                      <w:color w:val="FF0000"/>
                      <w:lang w:val="en-GB" w:eastAsia="en-GB"/>
                    </w:rPr>
                    <w:t>-100%</w:t>
                  </w:r>
                </w:p>
              </w:tc>
            </w:tr>
          </w:tbl>
          <w:p w:rsidR="00703ADF" w:rsidP="00A25435" w:rsidRDefault="00703ADF" w14:paraId="766A3010" w14:textId="77777777">
            <w:pPr>
              <w:pStyle w:val="TableParagraph"/>
              <w:tabs>
                <w:tab w:val="left" w:pos="299"/>
              </w:tabs>
              <w:spacing w:before="0"/>
              <w:jc w:val="left"/>
              <w:rPr>
                <w:bCs/>
                <w:sz w:val="24"/>
                <w:szCs w:val="24"/>
              </w:rPr>
            </w:pPr>
          </w:p>
          <w:p w:rsidRPr="00726E7F" w:rsidR="007A65CB" w:rsidP="00A25435" w:rsidRDefault="007A65CB" w14:paraId="065CDFB7" w14:textId="77777777">
            <w:pPr>
              <w:pStyle w:val="TableParagraph"/>
              <w:tabs>
                <w:tab w:val="left" w:pos="299"/>
              </w:tabs>
              <w:spacing w:before="0"/>
              <w:jc w:val="left"/>
              <w:rPr>
                <w:bCs/>
                <w:sz w:val="24"/>
                <w:szCs w:val="24"/>
              </w:rPr>
            </w:pPr>
          </w:p>
          <w:p w:rsidRPr="00A70107" w:rsidR="00726E7F" w:rsidP="00A25435" w:rsidRDefault="00726E7F" w14:paraId="39DDF8E7" w14:textId="1F1C46A2">
            <w:pPr>
              <w:pStyle w:val="TableParagraph"/>
              <w:tabs>
                <w:tab w:val="left" w:pos="299"/>
              </w:tabs>
              <w:spacing w:before="0"/>
              <w:jc w:val="left"/>
              <w:rPr>
                <w:b/>
                <w:sz w:val="24"/>
                <w:szCs w:val="24"/>
                <w:u w:val="single"/>
              </w:rPr>
            </w:pPr>
          </w:p>
        </w:tc>
      </w:tr>
      <w:tr w:rsidRPr="00A70107" w:rsidR="00A25435" w:rsidTr="0042235B" w14:paraId="583FFB91" w14:textId="77777777">
        <w:trPr>
          <w:trHeight w:val="260"/>
        </w:trPr>
        <w:tc>
          <w:tcPr>
            <w:tcW w:w="547" w:type="dxa"/>
          </w:tcPr>
          <w:p w:rsidRPr="00A70107" w:rsidR="00A25435" w:rsidP="009F0082" w:rsidRDefault="00A25435" w14:paraId="5CBCEACE" w14:textId="77777777">
            <w:pPr>
              <w:pStyle w:val="TableParagraph"/>
              <w:spacing w:before="0"/>
              <w:jc w:val="left"/>
              <w:rPr>
                <w:sz w:val="24"/>
                <w:szCs w:val="24"/>
              </w:rPr>
            </w:pPr>
          </w:p>
        </w:tc>
        <w:tc>
          <w:tcPr>
            <w:tcW w:w="9878" w:type="dxa"/>
          </w:tcPr>
          <w:p w:rsidRPr="00A70107" w:rsidR="00A25435" w:rsidP="009F0082" w:rsidRDefault="00A25435" w14:paraId="5688C6D0" w14:textId="77777777">
            <w:pPr>
              <w:pStyle w:val="TableParagraph"/>
              <w:spacing w:before="0"/>
              <w:jc w:val="left"/>
              <w:rPr>
                <w:sz w:val="24"/>
                <w:szCs w:val="24"/>
              </w:rPr>
            </w:pPr>
          </w:p>
        </w:tc>
      </w:tr>
      <w:tr w:rsidRPr="00A70107" w:rsidR="00786668" w:rsidTr="0042235B" w14:paraId="5EF89AB6" w14:textId="77777777">
        <w:trPr>
          <w:gridAfter w:val="1"/>
          <w:wAfter w:w="9878" w:type="dxa"/>
          <w:trHeight w:val="260"/>
        </w:trPr>
        <w:tc>
          <w:tcPr>
            <w:tcW w:w="547" w:type="dxa"/>
          </w:tcPr>
          <w:p w:rsidRPr="00A70107" w:rsidR="00786668" w:rsidP="009F0082" w:rsidRDefault="00786668" w14:paraId="29A2D9FF" w14:textId="5CA9178B">
            <w:pPr>
              <w:pStyle w:val="TableParagraph"/>
              <w:spacing w:before="0"/>
              <w:jc w:val="left"/>
              <w:rPr>
                <w:sz w:val="24"/>
                <w:szCs w:val="24"/>
              </w:rPr>
            </w:pPr>
          </w:p>
        </w:tc>
      </w:tr>
      <w:tr w:rsidRPr="00A70107" w:rsidR="00786668" w:rsidTr="0042235B" w14:paraId="302E4E25" w14:textId="77777777">
        <w:trPr>
          <w:gridAfter w:val="1"/>
          <w:wAfter w:w="9878" w:type="dxa"/>
          <w:trHeight w:val="260"/>
        </w:trPr>
        <w:tc>
          <w:tcPr>
            <w:tcW w:w="547" w:type="dxa"/>
          </w:tcPr>
          <w:p w:rsidRPr="00A70107" w:rsidR="00786668" w:rsidP="009F0082" w:rsidRDefault="00786668" w14:paraId="02542A03" w14:textId="77777777">
            <w:pPr>
              <w:pStyle w:val="TableParagraph"/>
              <w:spacing w:before="0"/>
              <w:jc w:val="left"/>
              <w:rPr>
                <w:sz w:val="24"/>
                <w:szCs w:val="24"/>
              </w:rPr>
            </w:pPr>
          </w:p>
        </w:tc>
      </w:tr>
      <w:tr w:rsidRPr="00A70107" w:rsidR="00786668" w:rsidTr="0042235B" w14:paraId="5D829F96" w14:textId="77777777">
        <w:trPr>
          <w:gridAfter w:val="1"/>
          <w:wAfter w:w="9878" w:type="dxa"/>
          <w:trHeight w:val="260"/>
        </w:trPr>
        <w:tc>
          <w:tcPr>
            <w:tcW w:w="547" w:type="dxa"/>
          </w:tcPr>
          <w:p w:rsidRPr="00A70107" w:rsidR="00786668" w:rsidP="00A25435" w:rsidRDefault="00786668" w14:paraId="11AE257D" w14:textId="3EC1160D">
            <w:pPr>
              <w:pStyle w:val="TableParagraph"/>
              <w:spacing w:before="0"/>
              <w:jc w:val="left"/>
              <w:rPr>
                <w:sz w:val="24"/>
                <w:szCs w:val="24"/>
              </w:rPr>
            </w:pPr>
          </w:p>
        </w:tc>
      </w:tr>
      <w:tr w:rsidRPr="00A70107" w:rsidR="00806BDD" w:rsidTr="0042235B" w14:paraId="603F92DC" w14:textId="77777777">
        <w:trPr>
          <w:trHeight w:val="260"/>
        </w:trPr>
        <w:tc>
          <w:tcPr>
            <w:tcW w:w="547" w:type="dxa"/>
          </w:tcPr>
          <w:p w:rsidRPr="00A70107" w:rsidR="00806BDD" w:rsidP="00A25435" w:rsidRDefault="00806BDD" w14:paraId="77311EBF" w14:textId="77777777">
            <w:pPr>
              <w:pStyle w:val="TableParagraph"/>
              <w:spacing w:before="0"/>
              <w:jc w:val="left"/>
              <w:rPr>
                <w:sz w:val="24"/>
                <w:szCs w:val="24"/>
              </w:rPr>
            </w:pPr>
          </w:p>
        </w:tc>
        <w:tc>
          <w:tcPr>
            <w:tcW w:w="9878" w:type="dxa"/>
          </w:tcPr>
          <w:p w:rsidRPr="00A70107" w:rsidR="00806BDD" w:rsidP="005A1E28" w:rsidRDefault="00806BDD" w14:paraId="32757CC0" w14:textId="77777777">
            <w:pPr>
              <w:pStyle w:val="TableParagraph"/>
              <w:spacing w:before="0"/>
              <w:jc w:val="left"/>
              <w:rPr>
                <w:sz w:val="24"/>
                <w:szCs w:val="24"/>
              </w:rPr>
            </w:pPr>
          </w:p>
        </w:tc>
      </w:tr>
      <w:tr w:rsidRPr="00A70107" w:rsidR="00806BDD" w:rsidTr="0042235B" w14:paraId="2CB2F0E2" w14:textId="77777777">
        <w:trPr>
          <w:trHeight w:val="260"/>
        </w:trPr>
        <w:tc>
          <w:tcPr>
            <w:tcW w:w="547" w:type="dxa"/>
          </w:tcPr>
          <w:p w:rsidR="00806BDD" w:rsidP="00A25435" w:rsidRDefault="00786668" w14:paraId="1EAEE483" w14:textId="77777777">
            <w:pPr>
              <w:pStyle w:val="TableParagraph"/>
              <w:spacing w:before="0"/>
              <w:jc w:val="left"/>
              <w:rPr>
                <w:b/>
                <w:bCs/>
                <w:sz w:val="24"/>
                <w:szCs w:val="24"/>
              </w:rPr>
            </w:pPr>
            <w:r>
              <w:rPr>
                <w:b/>
                <w:bCs/>
                <w:sz w:val="24"/>
                <w:szCs w:val="24"/>
              </w:rPr>
              <w:lastRenderedPageBreak/>
              <w:t>6.0</w:t>
            </w:r>
          </w:p>
          <w:p w:rsidR="00786668" w:rsidP="00A25435" w:rsidRDefault="00786668" w14:paraId="15FCCCBC" w14:textId="77777777">
            <w:pPr>
              <w:pStyle w:val="TableParagraph"/>
              <w:spacing w:before="0"/>
              <w:jc w:val="left"/>
              <w:rPr>
                <w:b/>
                <w:bCs/>
                <w:sz w:val="24"/>
                <w:szCs w:val="24"/>
              </w:rPr>
            </w:pPr>
          </w:p>
          <w:p w:rsidR="00786668" w:rsidP="00A25435" w:rsidRDefault="00786668" w14:paraId="0BA45AF8" w14:textId="77777777">
            <w:pPr>
              <w:pStyle w:val="TableParagraph"/>
              <w:spacing w:before="0"/>
              <w:jc w:val="left"/>
              <w:rPr>
                <w:sz w:val="24"/>
                <w:szCs w:val="24"/>
              </w:rPr>
            </w:pPr>
            <w:r w:rsidRPr="00786668">
              <w:rPr>
                <w:sz w:val="24"/>
                <w:szCs w:val="24"/>
              </w:rPr>
              <w:t xml:space="preserve">6.1 </w:t>
            </w:r>
          </w:p>
          <w:p w:rsidR="00786668" w:rsidP="00A25435" w:rsidRDefault="00786668" w14:paraId="044B3D0D" w14:textId="77777777">
            <w:pPr>
              <w:pStyle w:val="TableParagraph"/>
              <w:spacing w:before="0"/>
              <w:jc w:val="left"/>
              <w:rPr>
                <w:sz w:val="24"/>
                <w:szCs w:val="24"/>
              </w:rPr>
            </w:pPr>
          </w:p>
          <w:p w:rsidR="00786668" w:rsidP="00A25435" w:rsidRDefault="00786668" w14:paraId="08F3170A" w14:textId="77777777">
            <w:pPr>
              <w:pStyle w:val="TableParagraph"/>
              <w:spacing w:before="0"/>
              <w:jc w:val="left"/>
              <w:rPr>
                <w:sz w:val="24"/>
                <w:szCs w:val="24"/>
              </w:rPr>
            </w:pPr>
          </w:p>
          <w:p w:rsidR="00786668" w:rsidP="00A25435" w:rsidRDefault="00786668" w14:paraId="356999E7" w14:textId="77777777">
            <w:pPr>
              <w:pStyle w:val="TableParagraph"/>
              <w:spacing w:before="0"/>
              <w:jc w:val="left"/>
              <w:rPr>
                <w:sz w:val="24"/>
                <w:szCs w:val="24"/>
              </w:rPr>
            </w:pPr>
          </w:p>
          <w:p w:rsidR="008C4FD9" w:rsidP="00A25435" w:rsidRDefault="00786668" w14:paraId="036381B7" w14:textId="6972D1AC">
            <w:pPr>
              <w:pStyle w:val="TableParagraph"/>
              <w:spacing w:before="0"/>
              <w:jc w:val="left"/>
              <w:rPr>
                <w:sz w:val="24"/>
                <w:szCs w:val="24"/>
              </w:rPr>
            </w:pPr>
            <w:r>
              <w:rPr>
                <w:sz w:val="24"/>
                <w:szCs w:val="24"/>
              </w:rPr>
              <w:t>6.2</w:t>
            </w:r>
          </w:p>
          <w:p w:rsidR="007801E8" w:rsidP="00A25435" w:rsidRDefault="007801E8" w14:paraId="74E29BA2" w14:textId="34798220">
            <w:pPr>
              <w:pStyle w:val="TableParagraph"/>
              <w:spacing w:before="0"/>
              <w:jc w:val="left"/>
              <w:rPr>
                <w:sz w:val="24"/>
                <w:szCs w:val="24"/>
              </w:rPr>
            </w:pPr>
          </w:p>
          <w:p w:rsidR="007801E8" w:rsidP="00A25435" w:rsidRDefault="007801E8" w14:paraId="3481CB3C" w14:textId="725E8CD1">
            <w:pPr>
              <w:pStyle w:val="TableParagraph"/>
              <w:spacing w:before="0"/>
              <w:jc w:val="left"/>
              <w:rPr>
                <w:sz w:val="24"/>
                <w:szCs w:val="24"/>
              </w:rPr>
            </w:pPr>
          </w:p>
          <w:p w:rsidR="007801E8" w:rsidP="00A25435" w:rsidRDefault="007801E8" w14:paraId="304D2DD4" w14:textId="1BE3FA41">
            <w:pPr>
              <w:pStyle w:val="TableParagraph"/>
              <w:spacing w:before="0"/>
              <w:jc w:val="left"/>
              <w:rPr>
                <w:sz w:val="24"/>
                <w:szCs w:val="24"/>
              </w:rPr>
            </w:pPr>
          </w:p>
          <w:p w:rsidR="007801E8" w:rsidP="00A25435" w:rsidRDefault="007801E8" w14:paraId="14045A18" w14:textId="06011354">
            <w:pPr>
              <w:pStyle w:val="TableParagraph"/>
              <w:spacing w:before="0"/>
              <w:jc w:val="left"/>
              <w:rPr>
                <w:sz w:val="24"/>
                <w:szCs w:val="24"/>
              </w:rPr>
            </w:pPr>
          </w:p>
          <w:p w:rsidR="007801E8" w:rsidP="00A25435" w:rsidRDefault="007801E8" w14:paraId="724F315D" w14:textId="6325B14C">
            <w:pPr>
              <w:pStyle w:val="TableParagraph"/>
              <w:spacing w:before="0"/>
              <w:jc w:val="left"/>
              <w:rPr>
                <w:sz w:val="24"/>
                <w:szCs w:val="24"/>
              </w:rPr>
            </w:pPr>
          </w:p>
          <w:p w:rsidR="007801E8" w:rsidP="00A25435" w:rsidRDefault="007801E8" w14:paraId="380F9BD5" w14:textId="49DA1172">
            <w:pPr>
              <w:pStyle w:val="TableParagraph"/>
              <w:spacing w:before="0"/>
              <w:jc w:val="left"/>
              <w:rPr>
                <w:sz w:val="24"/>
                <w:szCs w:val="24"/>
              </w:rPr>
            </w:pPr>
          </w:p>
          <w:p w:rsidR="007801E8" w:rsidP="00A25435" w:rsidRDefault="007801E8" w14:paraId="4DDC1ECD" w14:textId="109676E4">
            <w:pPr>
              <w:pStyle w:val="TableParagraph"/>
              <w:spacing w:before="0"/>
              <w:jc w:val="left"/>
              <w:rPr>
                <w:sz w:val="24"/>
                <w:szCs w:val="24"/>
              </w:rPr>
            </w:pPr>
          </w:p>
          <w:p w:rsidRPr="00786668" w:rsidR="008C4FD9" w:rsidP="00A25435" w:rsidRDefault="008C4FD9" w14:paraId="309FBF63" w14:textId="16C4E728">
            <w:pPr>
              <w:pStyle w:val="TableParagraph"/>
              <w:spacing w:before="0"/>
              <w:jc w:val="left"/>
              <w:rPr>
                <w:sz w:val="24"/>
                <w:szCs w:val="24"/>
              </w:rPr>
            </w:pPr>
          </w:p>
        </w:tc>
        <w:tc>
          <w:tcPr>
            <w:tcW w:w="9878" w:type="dxa"/>
          </w:tcPr>
          <w:p w:rsidRPr="00786668" w:rsidR="00806BDD" w:rsidP="00761BF3" w:rsidRDefault="00786668" w14:paraId="6F38E9DC" w14:textId="77777777">
            <w:pPr>
              <w:pStyle w:val="TableParagraph"/>
              <w:spacing w:before="0"/>
              <w:jc w:val="both"/>
              <w:rPr>
                <w:b/>
                <w:sz w:val="24"/>
                <w:szCs w:val="24"/>
              </w:rPr>
            </w:pPr>
            <w:r w:rsidRPr="00786668">
              <w:rPr>
                <w:b/>
                <w:sz w:val="24"/>
                <w:szCs w:val="24"/>
              </w:rPr>
              <w:t>Balance Control Mechanism</w:t>
            </w:r>
          </w:p>
          <w:p w:rsidR="00786668" w:rsidP="00761BF3" w:rsidRDefault="00786668" w14:paraId="132D4CA7" w14:textId="77777777">
            <w:pPr>
              <w:pStyle w:val="TableParagraph"/>
              <w:spacing w:before="0"/>
              <w:jc w:val="both"/>
              <w:rPr>
                <w:b/>
                <w:sz w:val="24"/>
                <w:szCs w:val="24"/>
                <w:u w:val="single"/>
              </w:rPr>
            </w:pPr>
          </w:p>
          <w:p w:rsidR="00786668" w:rsidP="00761BF3" w:rsidRDefault="00786668" w14:paraId="7D52E7CE" w14:textId="62DEB981">
            <w:pPr>
              <w:pStyle w:val="TableParagraph"/>
              <w:spacing w:before="0"/>
              <w:jc w:val="both"/>
              <w:rPr>
                <w:bCs/>
                <w:sz w:val="24"/>
                <w:szCs w:val="24"/>
              </w:rPr>
            </w:pPr>
            <w:r w:rsidRPr="00786668">
              <w:rPr>
                <w:bCs/>
                <w:sz w:val="24"/>
                <w:szCs w:val="24"/>
              </w:rPr>
              <w:t>There is currently no requirement for local authorities to operate a Balance Control Mechanism</w:t>
            </w:r>
            <w:r>
              <w:rPr>
                <w:bCs/>
                <w:sz w:val="24"/>
                <w:szCs w:val="24"/>
              </w:rPr>
              <w:t xml:space="preserve"> (BCM). Peterborough, in consultation with Schools Forum, has continued to operate a BCM to ensure funding is spent on those children </w:t>
            </w:r>
            <w:proofErr w:type="gramStart"/>
            <w:r>
              <w:rPr>
                <w:bCs/>
                <w:sz w:val="24"/>
                <w:szCs w:val="24"/>
              </w:rPr>
              <w:t>which</w:t>
            </w:r>
            <w:proofErr w:type="gramEnd"/>
            <w:r>
              <w:rPr>
                <w:bCs/>
                <w:sz w:val="24"/>
                <w:szCs w:val="24"/>
              </w:rPr>
              <w:t xml:space="preserve"> generated that funding.</w:t>
            </w:r>
          </w:p>
          <w:p w:rsidR="00786668" w:rsidP="00761BF3" w:rsidRDefault="00786668" w14:paraId="76E04966" w14:textId="77777777">
            <w:pPr>
              <w:pStyle w:val="TableParagraph"/>
              <w:spacing w:before="0"/>
              <w:jc w:val="both"/>
              <w:rPr>
                <w:bCs/>
                <w:sz w:val="24"/>
                <w:szCs w:val="24"/>
              </w:rPr>
            </w:pPr>
          </w:p>
          <w:p w:rsidR="00786668" w:rsidP="00761BF3" w:rsidRDefault="00786668" w14:paraId="71AF084F" w14:textId="53812AA6">
            <w:pPr>
              <w:pStyle w:val="TableParagraph"/>
              <w:spacing w:before="0"/>
              <w:jc w:val="both"/>
              <w:rPr>
                <w:bCs/>
                <w:sz w:val="24"/>
                <w:szCs w:val="24"/>
              </w:rPr>
            </w:pPr>
            <w:r>
              <w:rPr>
                <w:bCs/>
                <w:sz w:val="24"/>
                <w:szCs w:val="24"/>
              </w:rPr>
              <w:t>The BCM criteria for 2021-22 was as follows:</w:t>
            </w:r>
          </w:p>
          <w:p w:rsidR="00786668" w:rsidP="00786668" w:rsidRDefault="00786668" w14:paraId="1D4E1313" w14:textId="5702BB9E">
            <w:pPr>
              <w:pStyle w:val="TableParagraph"/>
              <w:numPr>
                <w:ilvl w:val="0"/>
                <w:numId w:val="5"/>
              </w:numPr>
              <w:spacing w:before="0"/>
              <w:jc w:val="both"/>
              <w:rPr>
                <w:bCs/>
                <w:sz w:val="24"/>
                <w:szCs w:val="24"/>
              </w:rPr>
            </w:pPr>
            <w:proofErr w:type="gramStart"/>
            <w:r>
              <w:rPr>
                <w:bCs/>
                <w:sz w:val="24"/>
                <w:szCs w:val="24"/>
              </w:rPr>
              <w:t>Schools</w:t>
            </w:r>
            <w:proofErr w:type="gramEnd"/>
            <w:r>
              <w:rPr>
                <w:bCs/>
                <w:sz w:val="24"/>
                <w:szCs w:val="24"/>
              </w:rPr>
              <w:t xml:space="preserve"> balances cannot exceed 8% of their individual Schools Budget Share (ISB)</w:t>
            </w:r>
            <w:r w:rsidR="00C30FA0">
              <w:rPr>
                <w:bCs/>
                <w:sz w:val="24"/>
                <w:szCs w:val="24"/>
              </w:rPr>
              <w:t xml:space="preserve"> for primary / special schools and 5% for secondary schools.</w:t>
            </w:r>
          </w:p>
          <w:p w:rsidR="00786668" w:rsidP="00786668" w:rsidRDefault="00786668" w14:paraId="1C83BC0E" w14:textId="571C8086">
            <w:pPr>
              <w:pStyle w:val="TableParagraph"/>
              <w:numPr>
                <w:ilvl w:val="0"/>
                <w:numId w:val="5"/>
              </w:numPr>
              <w:spacing w:before="0"/>
              <w:jc w:val="both"/>
              <w:rPr>
                <w:bCs/>
                <w:sz w:val="24"/>
                <w:szCs w:val="24"/>
              </w:rPr>
            </w:pPr>
            <w:r>
              <w:rPr>
                <w:bCs/>
                <w:sz w:val="24"/>
                <w:szCs w:val="24"/>
              </w:rPr>
              <w:t xml:space="preserve">Revenue balances over this </w:t>
            </w:r>
            <w:r w:rsidR="008C4FD9">
              <w:rPr>
                <w:bCs/>
                <w:sz w:val="24"/>
                <w:szCs w:val="24"/>
              </w:rPr>
              <w:t>threshold</w:t>
            </w:r>
            <w:r>
              <w:rPr>
                <w:bCs/>
                <w:sz w:val="24"/>
                <w:szCs w:val="24"/>
              </w:rPr>
              <w:t xml:space="preserve"> will be clawed back</w:t>
            </w:r>
          </w:p>
          <w:p w:rsidR="008C4FD9" w:rsidP="00786668" w:rsidRDefault="008C4FD9" w14:paraId="7B7B6885" w14:textId="0FCD8908">
            <w:pPr>
              <w:pStyle w:val="TableParagraph"/>
              <w:numPr>
                <w:ilvl w:val="0"/>
                <w:numId w:val="5"/>
              </w:numPr>
              <w:spacing w:before="0"/>
              <w:jc w:val="both"/>
              <w:rPr>
                <w:bCs/>
                <w:sz w:val="24"/>
                <w:szCs w:val="24"/>
              </w:rPr>
            </w:pPr>
            <w:r>
              <w:rPr>
                <w:bCs/>
                <w:sz w:val="24"/>
                <w:szCs w:val="24"/>
              </w:rPr>
              <w:t>There will be no distinction between committed and uncommitted balances for the purpose of applying the BCM</w:t>
            </w:r>
          </w:p>
          <w:p w:rsidR="008C4FD9" w:rsidP="00786668" w:rsidRDefault="008C4FD9" w14:paraId="5B0EB7BE" w14:textId="1BD144C0">
            <w:pPr>
              <w:pStyle w:val="TableParagraph"/>
              <w:numPr>
                <w:ilvl w:val="0"/>
                <w:numId w:val="5"/>
              </w:numPr>
              <w:spacing w:before="0"/>
              <w:jc w:val="both"/>
              <w:rPr>
                <w:bCs/>
                <w:sz w:val="24"/>
                <w:szCs w:val="24"/>
              </w:rPr>
            </w:pPr>
            <w:r>
              <w:rPr>
                <w:bCs/>
                <w:sz w:val="24"/>
                <w:szCs w:val="24"/>
              </w:rPr>
              <w:t>Late funding distributed by the local authority and new in year grants announced by the Government, that the school was unaware of, is deducted from the final revenue balance before applying the BCM calculation</w:t>
            </w:r>
          </w:p>
          <w:p w:rsidRPr="007801E8" w:rsidR="007801E8" w:rsidP="007801E8" w:rsidRDefault="008C4FD9" w14:paraId="123AC0C8" w14:textId="4E5DA395">
            <w:pPr>
              <w:pStyle w:val="TableParagraph"/>
              <w:numPr>
                <w:ilvl w:val="0"/>
                <w:numId w:val="5"/>
              </w:numPr>
              <w:spacing w:before="0"/>
              <w:jc w:val="both"/>
              <w:rPr>
                <w:bCs/>
                <w:sz w:val="24"/>
                <w:szCs w:val="24"/>
              </w:rPr>
            </w:pPr>
            <w:r>
              <w:rPr>
                <w:bCs/>
                <w:sz w:val="24"/>
                <w:szCs w:val="24"/>
              </w:rPr>
              <w:t>A panel, consisting of Schools Forum members from the relevant phase, will be established to review any appeals prior to the balances being clawed b</w:t>
            </w:r>
            <w:r w:rsidR="007801E8">
              <w:rPr>
                <w:bCs/>
                <w:sz w:val="24"/>
                <w:szCs w:val="24"/>
              </w:rPr>
              <w:t>ack</w:t>
            </w:r>
          </w:p>
          <w:p w:rsidRPr="007801E8" w:rsidR="007801E8" w:rsidP="007801E8" w:rsidRDefault="007801E8" w14:paraId="7B7E05D7" w14:textId="617597D8">
            <w:pPr>
              <w:pStyle w:val="TableParagraph"/>
              <w:spacing w:before="0"/>
              <w:jc w:val="both"/>
              <w:rPr>
                <w:bCs/>
                <w:sz w:val="24"/>
                <w:szCs w:val="24"/>
              </w:rPr>
            </w:pPr>
          </w:p>
        </w:tc>
      </w:tr>
      <w:tr w:rsidRPr="00A70107" w:rsidR="00120DC5" w:rsidTr="0042235B" w14:paraId="3D0A96E2" w14:textId="77777777">
        <w:trPr>
          <w:trHeight w:val="260"/>
        </w:trPr>
        <w:tc>
          <w:tcPr>
            <w:tcW w:w="547" w:type="dxa"/>
          </w:tcPr>
          <w:p w:rsidRPr="008C4FD9" w:rsidR="00120DC5" w:rsidP="00A25435" w:rsidRDefault="008C4FD9" w14:paraId="2AF0B4FD" w14:textId="29B70DD6">
            <w:pPr>
              <w:pStyle w:val="TableParagraph"/>
              <w:spacing w:before="0"/>
              <w:jc w:val="left"/>
              <w:rPr>
                <w:bCs/>
                <w:sz w:val="24"/>
                <w:szCs w:val="24"/>
              </w:rPr>
            </w:pPr>
            <w:r w:rsidRPr="008C4FD9">
              <w:rPr>
                <w:bCs/>
                <w:sz w:val="24"/>
                <w:szCs w:val="24"/>
              </w:rPr>
              <w:t>6.3</w:t>
            </w:r>
          </w:p>
        </w:tc>
        <w:tc>
          <w:tcPr>
            <w:tcW w:w="9878" w:type="dxa"/>
          </w:tcPr>
          <w:p w:rsidRPr="008C4FD9" w:rsidR="00120DC5" w:rsidP="00806BDD" w:rsidRDefault="008C4FD9" w14:paraId="6F5C2529" w14:textId="42A19282">
            <w:pPr>
              <w:pStyle w:val="TableParagraph"/>
              <w:jc w:val="both"/>
              <w:rPr>
                <w:bCs/>
                <w:sz w:val="24"/>
                <w:szCs w:val="24"/>
              </w:rPr>
            </w:pPr>
            <w:r>
              <w:rPr>
                <w:bCs/>
                <w:sz w:val="24"/>
                <w:szCs w:val="24"/>
              </w:rPr>
              <w:t xml:space="preserve">Two schools exceeded the </w:t>
            </w:r>
            <w:r w:rsidR="00C30FA0">
              <w:rPr>
                <w:bCs/>
                <w:sz w:val="24"/>
                <w:szCs w:val="24"/>
              </w:rPr>
              <w:t xml:space="preserve">5% / </w:t>
            </w:r>
            <w:r>
              <w:rPr>
                <w:bCs/>
                <w:sz w:val="24"/>
                <w:szCs w:val="24"/>
              </w:rPr>
              <w:t xml:space="preserve">8% in 2021/22 and will </w:t>
            </w:r>
            <w:r w:rsidR="00C30FA0">
              <w:rPr>
                <w:bCs/>
                <w:sz w:val="24"/>
                <w:szCs w:val="24"/>
              </w:rPr>
              <w:t xml:space="preserve">are currently working with them over understanding these surplus balances.  </w:t>
            </w:r>
          </w:p>
        </w:tc>
      </w:tr>
      <w:tr w:rsidRPr="00A70107" w:rsidR="00A70107" w:rsidTr="0042235B" w14:paraId="4905312A" w14:textId="77777777">
        <w:trPr>
          <w:trHeight w:val="260"/>
        </w:trPr>
        <w:tc>
          <w:tcPr>
            <w:tcW w:w="547" w:type="dxa"/>
          </w:tcPr>
          <w:p w:rsidRPr="00A70107" w:rsidR="00A70107" w:rsidP="00A25435" w:rsidRDefault="00A70107" w14:paraId="5A4B3D6F" w14:textId="77777777">
            <w:pPr>
              <w:pStyle w:val="TableParagraph"/>
              <w:spacing w:before="0"/>
              <w:jc w:val="left"/>
              <w:rPr>
                <w:b/>
                <w:sz w:val="24"/>
                <w:szCs w:val="24"/>
              </w:rPr>
            </w:pPr>
          </w:p>
        </w:tc>
        <w:tc>
          <w:tcPr>
            <w:tcW w:w="9878" w:type="dxa"/>
          </w:tcPr>
          <w:p w:rsidRPr="00A70107" w:rsidR="00A70107" w:rsidP="00806BDD" w:rsidRDefault="00A70107" w14:paraId="1380A34B" w14:textId="77777777">
            <w:pPr>
              <w:pStyle w:val="TableParagraph"/>
              <w:jc w:val="both"/>
              <w:rPr>
                <w:b/>
                <w:sz w:val="24"/>
                <w:szCs w:val="24"/>
                <w:u w:val="single"/>
              </w:rPr>
            </w:pPr>
          </w:p>
        </w:tc>
      </w:tr>
      <w:tr w:rsidRPr="00A70107" w:rsidR="000B12A9" w:rsidTr="0042235B" w14:paraId="4CE6BBB9" w14:textId="77777777">
        <w:trPr>
          <w:trHeight w:val="260"/>
        </w:trPr>
        <w:tc>
          <w:tcPr>
            <w:tcW w:w="547" w:type="dxa"/>
          </w:tcPr>
          <w:p w:rsidRPr="00AE6495" w:rsidR="008C4FD9" w:rsidP="00A25435" w:rsidRDefault="008C4FD9" w14:paraId="34ED15EE" w14:textId="1243CB8E">
            <w:pPr>
              <w:pStyle w:val="TableParagraph"/>
              <w:spacing w:before="0"/>
              <w:jc w:val="left"/>
              <w:rPr>
                <w:sz w:val="24"/>
                <w:szCs w:val="24"/>
              </w:rPr>
            </w:pPr>
            <w:r w:rsidRPr="00AE6495">
              <w:rPr>
                <w:sz w:val="24"/>
                <w:szCs w:val="24"/>
              </w:rPr>
              <w:t>6.4</w:t>
            </w:r>
          </w:p>
          <w:p w:rsidRPr="00AE6495" w:rsidR="0042235B" w:rsidP="00A25435" w:rsidRDefault="0042235B" w14:paraId="008E392B" w14:textId="77777777">
            <w:pPr>
              <w:pStyle w:val="TableParagraph"/>
              <w:spacing w:before="0"/>
              <w:jc w:val="left"/>
              <w:rPr>
                <w:sz w:val="24"/>
                <w:szCs w:val="24"/>
              </w:rPr>
            </w:pPr>
          </w:p>
          <w:p w:rsidRPr="00AE6495" w:rsidR="00FD533F" w:rsidP="00A25435" w:rsidRDefault="00AE6495" w14:paraId="2DF4BBEC" w14:textId="53843810">
            <w:pPr>
              <w:pStyle w:val="TableParagraph"/>
              <w:spacing w:before="0"/>
              <w:jc w:val="left"/>
              <w:rPr>
                <w:sz w:val="24"/>
                <w:szCs w:val="24"/>
              </w:rPr>
            </w:pPr>
            <w:r>
              <w:rPr>
                <w:sz w:val="24"/>
                <w:szCs w:val="24"/>
              </w:rPr>
              <w:t>6.</w:t>
            </w:r>
            <w:r w:rsidR="007801E8">
              <w:rPr>
                <w:sz w:val="24"/>
                <w:szCs w:val="24"/>
              </w:rPr>
              <w:t>5</w:t>
            </w:r>
          </w:p>
          <w:p w:rsidRPr="00AE6495" w:rsidR="00FD533F" w:rsidP="00A25435" w:rsidRDefault="00FD533F" w14:paraId="68E78B06" w14:textId="77777777">
            <w:pPr>
              <w:pStyle w:val="TableParagraph"/>
              <w:spacing w:before="0"/>
              <w:jc w:val="left"/>
              <w:rPr>
                <w:sz w:val="24"/>
                <w:szCs w:val="24"/>
              </w:rPr>
            </w:pPr>
          </w:p>
          <w:p w:rsidRPr="00AE6495" w:rsidR="00FD533F" w:rsidP="00A25435" w:rsidRDefault="00FD533F" w14:paraId="02DCBC1B" w14:textId="77777777">
            <w:pPr>
              <w:pStyle w:val="TableParagraph"/>
              <w:spacing w:before="0"/>
              <w:jc w:val="left"/>
              <w:rPr>
                <w:sz w:val="24"/>
                <w:szCs w:val="24"/>
              </w:rPr>
            </w:pPr>
          </w:p>
          <w:p w:rsidRPr="00AE6495" w:rsidR="00FD533F" w:rsidP="00A25435" w:rsidRDefault="00FD533F" w14:paraId="6782F71B" w14:textId="77777777">
            <w:pPr>
              <w:pStyle w:val="TableParagraph"/>
              <w:spacing w:before="0"/>
              <w:jc w:val="left"/>
              <w:rPr>
                <w:sz w:val="24"/>
                <w:szCs w:val="24"/>
              </w:rPr>
            </w:pPr>
          </w:p>
          <w:p w:rsidRPr="00AE6495" w:rsidR="00FD533F" w:rsidP="00A25435" w:rsidRDefault="00FD533F" w14:paraId="32A96424" w14:textId="77777777">
            <w:pPr>
              <w:pStyle w:val="TableParagraph"/>
              <w:spacing w:before="0"/>
              <w:jc w:val="left"/>
              <w:rPr>
                <w:sz w:val="24"/>
                <w:szCs w:val="24"/>
              </w:rPr>
            </w:pPr>
          </w:p>
          <w:p w:rsidRPr="00AE6495" w:rsidR="00FD533F" w:rsidP="00A25435" w:rsidRDefault="00FD533F" w14:paraId="551E0406" w14:textId="44B4832F">
            <w:pPr>
              <w:pStyle w:val="TableParagraph"/>
              <w:spacing w:before="0"/>
              <w:jc w:val="left"/>
              <w:rPr>
                <w:sz w:val="24"/>
                <w:szCs w:val="24"/>
              </w:rPr>
            </w:pPr>
          </w:p>
          <w:p w:rsidRPr="00AE6495" w:rsidR="008A28A5" w:rsidP="00A25435" w:rsidRDefault="008A28A5" w14:paraId="374B90B5" w14:textId="77777777">
            <w:pPr>
              <w:pStyle w:val="TableParagraph"/>
              <w:spacing w:before="0"/>
              <w:jc w:val="left"/>
              <w:rPr>
                <w:sz w:val="24"/>
                <w:szCs w:val="24"/>
              </w:rPr>
            </w:pPr>
          </w:p>
          <w:p w:rsidRPr="00AE6495" w:rsidR="00FD533F" w:rsidP="00A25435" w:rsidRDefault="00FD533F" w14:paraId="763EF0E3" w14:textId="77777777">
            <w:pPr>
              <w:pStyle w:val="TableParagraph"/>
              <w:spacing w:before="0"/>
              <w:jc w:val="left"/>
              <w:rPr>
                <w:sz w:val="24"/>
                <w:szCs w:val="24"/>
              </w:rPr>
            </w:pPr>
          </w:p>
          <w:p w:rsidRPr="00AE6495" w:rsidR="00FD533F" w:rsidP="00A25435" w:rsidRDefault="00FD533F" w14:paraId="5211B107" w14:textId="77777777">
            <w:pPr>
              <w:pStyle w:val="TableParagraph"/>
              <w:spacing w:before="0"/>
              <w:jc w:val="left"/>
              <w:rPr>
                <w:sz w:val="24"/>
                <w:szCs w:val="24"/>
              </w:rPr>
            </w:pPr>
          </w:p>
          <w:p w:rsidRPr="00AE6495" w:rsidR="00FD533F" w:rsidP="00A25435" w:rsidRDefault="00FD533F" w14:paraId="09DBCE0F" w14:textId="0BF35672">
            <w:pPr>
              <w:pStyle w:val="TableParagraph"/>
              <w:spacing w:before="0"/>
              <w:jc w:val="left"/>
              <w:rPr>
                <w:sz w:val="24"/>
                <w:szCs w:val="24"/>
              </w:rPr>
            </w:pPr>
          </w:p>
          <w:p w:rsidRPr="00AE6495" w:rsidR="008A28A5" w:rsidP="00A25435" w:rsidRDefault="008A28A5" w14:paraId="60994239" w14:textId="77777777">
            <w:pPr>
              <w:pStyle w:val="TableParagraph"/>
              <w:spacing w:before="0"/>
              <w:jc w:val="left"/>
              <w:rPr>
                <w:sz w:val="24"/>
                <w:szCs w:val="24"/>
              </w:rPr>
            </w:pPr>
          </w:p>
          <w:p w:rsidRPr="00AE6495" w:rsidR="008A28A5" w:rsidP="00A25435" w:rsidRDefault="008A28A5" w14:paraId="5B6C0B6B" w14:textId="77777777">
            <w:pPr>
              <w:pStyle w:val="TableParagraph"/>
              <w:spacing w:before="0"/>
              <w:jc w:val="left"/>
              <w:rPr>
                <w:sz w:val="24"/>
                <w:szCs w:val="24"/>
              </w:rPr>
            </w:pPr>
          </w:p>
          <w:p w:rsidRPr="00AE6495" w:rsidR="008A28A5" w:rsidP="00A25435" w:rsidRDefault="008A28A5" w14:paraId="7F9E8F5B" w14:textId="77777777">
            <w:pPr>
              <w:pStyle w:val="TableParagraph"/>
              <w:spacing w:before="0"/>
              <w:jc w:val="left"/>
              <w:rPr>
                <w:sz w:val="24"/>
                <w:szCs w:val="24"/>
              </w:rPr>
            </w:pPr>
          </w:p>
          <w:p w:rsidRPr="00AE6495" w:rsidR="008A28A5" w:rsidP="00A25435" w:rsidRDefault="008A28A5" w14:paraId="5904FCBF" w14:textId="77777777">
            <w:pPr>
              <w:pStyle w:val="TableParagraph"/>
              <w:spacing w:before="0"/>
              <w:jc w:val="left"/>
              <w:rPr>
                <w:sz w:val="24"/>
                <w:szCs w:val="24"/>
              </w:rPr>
            </w:pPr>
          </w:p>
          <w:p w:rsidRPr="00AE6495" w:rsidR="008A28A5" w:rsidP="00A25435" w:rsidRDefault="008A28A5" w14:paraId="37D601EC" w14:textId="77777777">
            <w:pPr>
              <w:pStyle w:val="TableParagraph"/>
              <w:spacing w:before="0"/>
              <w:jc w:val="left"/>
              <w:rPr>
                <w:sz w:val="24"/>
                <w:szCs w:val="24"/>
              </w:rPr>
            </w:pPr>
          </w:p>
          <w:p w:rsidRPr="00AE6495" w:rsidR="008A28A5" w:rsidP="00A25435" w:rsidRDefault="008A28A5" w14:paraId="38C85ABF" w14:textId="77777777">
            <w:pPr>
              <w:pStyle w:val="TableParagraph"/>
              <w:spacing w:before="0"/>
              <w:jc w:val="left"/>
              <w:rPr>
                <w:sz w:val="24"/>
                <w:szCs w:val="24"/>
              </w:rPr>
            </w:pPr>
          </w:p>
          <w:p w:rsidRPr="00AE6495" w:rsidR="008A28A5" w:rsidP="00A25435" w:rsidRDefault="008A28A5" w14:paraId="472D9E1F" w14:textId="77777777">
            <w:pPr>
              <w:pStyle w:val="TableParagraph"/>
              <w:spacing w:before="0"/>
              <w:jc w:val="left"/>
              <w:rPr>
                <w:sz w:val="24"/>
                <w:szCs w:val="24"/>
              </w:rPr>
            </w:pPr>
          </w:p>
          <w:p w:rsidRPr="00AE6495" w:rsidR="008A28A5" w:rsidP="00A25435" w:rsidRDefault="008A28A5" w14:paraId="19144A13" w14:textId="6CC623FD">
            <w:pPr>
              <w:pStyle w:val="TableParagraph"/>
              <w:spacing w:before="0"/>
              <w:jc w:val="left"/>
              <w:rPr>
                <w:sz w:val="24"/>
                <w:szCs w:val="24"/>
              </w:rPr>
            </w:pPr>
          </w:p>
          <w:p w:rsidRPr="00AE6495" w:rsidR="008A28A5" w:rsidP="00A25435" w:rsidRDefault="008A28A5" w14:paraId="20F6A6F4" w14:textId="77777777">
            <w:pPr>
              <w:pStyle w:val="TableParagraph"/>
              <w:spacing w:before="0"/>
              <w:jc w:val="left"/>
              <w:rPr>
                <w:sz w:val="24"/>
                <w:szCs w:val="24"/>
              </w:rPr>
            </w:pPr>
          </w:p>
          <w:p w:rsidRPr="00AE6495" w:rsidR="008A28A5" w:rsidP="00A25435" w:rsidRDefault="008A28A5" w14:paraId="24644B1C" w14:textId="77777777">
            <w:pPr>
              <w:pStyle w:val="TableParagraph"/>
              <w:spacing w:before="0"/>
              <w:jc w:val="left"/>
              <w:rPr>
                <w:sz w:val="24"/>
                <w:szCs w:val="24"/>
              </w:rPr>
            </w:pPr>
          </w:p>
          <w:p w:rsidRPr="00AE6495" w:rsidR="008A28A5" w:rsidP="00A25435" w:rsidRDefault="008A28A5" w14:paraId="08A3809B" w14:textId="77777777">
            <w:pPr>
              <w:pStyle w:val="TableParagraph"/>
              <w:spacing w:before="0"/>
              <w:jc w:val="left"/>
              <w:rPr>
                <w:sz w:val="24"/>
                <w:szCs w:val="24"/>
              </w:rPr>
            </w:pPr>
          </w:p>
          <w:p w:rsidRPr="00AE6495" w:rsidR="008A28A5" w:rsidP="00A25435" w:rsidRDefault="008A28A5" w14:paraId="49F22D71" w14:textId="77777777">
            <w:pPr>
              <w:pStyle w:val="TableParagraph"/>
              <w:spacing w:before="0"/>
              <w:jc w:val="left"/>
              <w:rPr>
                <w:sz w:val="24"/>
                <w:szCs w:val="24"/>
              </w:rPr>
            </w:pPr>
          </w:p>
          <w:p w:rsidRPr="00AE6495" w:rsidR="008A28A5" w:rsidP="00A25435" w:rsidRDefault="008A28A5" w14:paraId="646E434C" w14:textId="2A4BF46A">
            <w:pPr>
              <w:pStyle w:val="TableParagraph"/>
              <w:spacing w:before="0"/>
              <w:jc w:val="left"/>
              <w:rPr>
                <w:sz w:val="24"/>
                <w:szCs w:val="24"/>
              </w:rPr>
            </w:pPr>
            <w:r w:rsidRPr="00AE6495">
              <w:rPr>
                <w:sz w:val="24"/>
                <w:szCs w:val="24"/>
              </w:rPr>
              <w:t xml:space="preserve"> </w:t>
            </w:r>
          </w:p>
        </w:tc>
        <w:tc>
          <w:tcPr>
            <w:tcW w:w="9878" w:type="dxa"/>
          </w:tcPr>
          <w:p w:rsidRPr="00AE6495" w:rsidR="008C4FD9" w:rsidP="005A1E28" w:rsidRDefault="008C4FD9" w14:paraId="3CBF122F" w14:textId="7416520A">
            <w:pPr>
              <w:pStyle w:val="TableParagraph"/>
              <w:tabs>
                <w:tab w:val="left" w:pos="168"/>
              </w:tabs>
              <w:jc w:val="left"/>
              <w:rPr>
                <w:sz w:val="24"/>
                <w:szCs w:val="24"/>
              </w:rPr>
            </w:pPr>
            <w:r w:rsidRPr="00AE6495">
              <w:rPr>
                <w:sz w:val="24"/>
                <w:szCs w:val="24"/>
              </w:rPr>
              <w:t>No changes are proposed to the BCM in 2022/23</w:t>
            </w:r>
            <w:r w:rsidR="00C30FA0">
              <w:rPr>
                <w:sz w:val="24"/>
                <w:szCs w:val="24"/>
              </w:rPr>
              <w:t xml:space="preserve">.  </w:t>
            </w:r>
          </w:p>
          <w:p w:rsidRPr="00AE6495" w:rsidR="00FD533F" w:rsidP="005A1E28" w:rsidRDefault="00FD533F" w14:paraId="0345DC5B" w14:textId="2A233CD7">
            <w:pPr>
              <w:pStyle w:val="TableParagraph"/>
              <w:tabs>
                <w:tab w:val="left" w:pos="168"/>
              </w:tabs>
              <w:jc w:val="left"/>
              <w:rPr>
                <w:sz w:val="24"/>
                <w:szCs w:val="24"/>
              </w:rPr>
            </w:pPr>
          </w:p>
          <w:p w:rsidRPr="00AE6495" w:rsidR="00FD533F" w:rsidP="005A1E28" w:rsidRDefault="008C4FD9" w14:paraId="24E1DD46" w14:textId="1147F882">
            <w:pPr>
              <w:pStyle w:val="TableParagraph"/>
              <w:tabs>
                <w:tab w:val="left" w:pos="168"/>
              </w:tabs>
              <w:jc w:val="left"/>
              <w:rPr>
                <w:b/>
                <w:bCs/>
                <w:sz w:val="24"/>
                <w:szCs w:val="24"/>
              </w:rPr>
            </w:pPr>
            <w:r w:rsidRPr="00AE6495">
              <w:rPr>
                <w:b/>
                <w:bCs/>
                <w:sz w:val="24"/>
                <w:szCs w:val="24"/>
              </w:rPr>
              <w:t xml:space="preserve">Action: Schools Forum are asked to consider the proposals to maintain the current BCM </w:t>
            </w:r>
            <w:r w:rsidRPr="00AE6495" w:rsidR="00AE6495">
              <w:rPr>
                <w:b/>
                <w:bCs/>
                <w:sz w:val="24"/>
                <w:szCs w:val="24"/>
              </w:rPr>
              <w:t>of 8% for 2022/23</w:t>
            </w:r>
          </w:p>
          <w:p w:rsidRPr="00AE6495" w:rsidR="00FD533F" w:rsidP="005A1E28" w:rsidRDefault="00FD533F" w14:paraId="26F959CD" w14:textId="46F6D8ED">
            <w:pPr>
              <w:pStyle w:val="TableParagraph"/>
              <w:tabs>
                <w:tab w:val="left" w:pos="168"/>
              </w:tabs>
              <w:jc w:val="left"/>
              <w:rPr>
                <w:sz w:val="24"/>
                <w:szCs w:val="24"/>
              </w:rPr>
            </w:pPr>
          </w:p>
          <w:p w:rsidRPr="00AE6495" w:rsidR="00FD533F" w:rsidP="005A1E28" w:rsidRDefault="00FD533F" w14:paraId="09D1341F" w14:textId="39C94BB9">
            <w:pPr>
              <w:pStyle w:val="TableParagraph"/>
              <w:tabs>
                <w:tab w:val="left" w:pos="168"/>
              </w:tabs>
              <w:jc w:val="left"/>
              <w:rPr>
                <w:rFonts w:eastAsiaTheme="minorHAnsi"/>
                <w:color w:val="000000"/>
                <w:lang w:val="en-GB"/>
              </w:rPr>
            </w:pPr>
          </w:p>
          <w:p w:rsidRPr="00AE6495" w:rsidR="00FD533F" w:rsidP="005A1E28" w:rsidRDefault="00FD533F" w14:paraId="06FF9213" w14:textId="1593A5F7">
            <w:pPr>
              <w:pStyle w:val="TableParagraph"/>
              <w:tabs>
                <w:tab w:val="left" w:pos="168"/>
              </w:tabs>
              <w:jc w:val="left"/>
              <w:rPr>
                <w:sz w:val="24"/>
                <w:szCs w:val="24"/>
              </w:rPr>
            </w:pPr>
          </w:p>
          <w:p w:rsidRPr="00AE6495" w:rsidR="008A28A5" w:rsidP="005A1E28" w:rsidRDefault="008A28A5" w14:paraId="0BFAB6ED" w14:textId="2C4851C1">
            <w:pPr>
              <w:pStyle w:val="TableParagraph"/>
              <w:tabs>
                <w:tab w:val="left" w:pos="168"/>
              </w:tabs>
              <w:jc w:val="left"/>
              <w:rPr>
                <w:sz w:val="24"/>
                <w:szCs w:val="24"/>
              </w:rPr>
            </w:pPr>
          </w:p>
          <w:p w:rsidRPr="00AE6495" w:rsidR="008A28A5" w:rsidP="005A1E28" w:rsidRDefault="008A28A5" w14:paraId="6D752C2B" w14:textId="432C6804">
            <w:pPr>
              <w:pStyle w:val="TableParagraph"/>
              <w:tabs>
                <w:tab w:val="left" w:pos="168"/>
              </w:tabs>
              <w:jc w:val="left"/>
              <w:rPr>
                <w:sz w:val="24"/>
                <w:szCs w:val="24"/>
              </w:rPr>
            </w:pPr>
          </w:p>
          <w:p w:rsidRPr="00AE6495" w:rsidR="00FD533F" w:rsidP="005A1E28" w:rsidRDefault="00FD533F" w14:paraId="1CC582EB" w14:textId="603C3F85">
            <w:pPr>
              <w:pStyle w:val="TableParagraph"/>
              <w:tabs>
                <w:tab w:val="left" w:pos="168"/>
              </w:tabs>
              <w:jc w:val="left"/>
              <w:rPr>
                <w:sz w:val="24"/>
                <w:szCs w:val="24"/>
              </w:rPr>
            </w:pPr>
          </w:p>
          <w:p w:rsidRPr="00AE6495" w:rsidR="00FD533F" w:rsidP="005A1E28" w:rsidRDefault="00FD533F" w14:paraId="025DBC78" w14:textId="77777777">
            <w:pPr>
              <w:pStyle w:val="TableParagraph"/>
              <w:tabs>
                <w:tab w:val="left" w:pos="168"/>
              </w:tabs>
              <w:jc w:val="left"/>
              <w:rPr>
                <w:sz w:val="24"/>
                <w:szCs w:val="24"/>
              </w:rPr>
            </w:pPr>
          </w:p>
          <w:p w:rsidRPr="00AE6495" w:rsidR="000B12A9" w:rsidP="005A1E28" w:rsidRDefault="000B12A9" w14:paraId="7518A109" w14:textId="5C198C19">
            <w:pPr>
              <w:pStyle w:val="TableParagraph"/>
              <w:tabs>
                <w:tab w:val="left" w:pos="168"/>
              </w:tabs>
              <w:jc w:val="left"/>
              <w:rPr>
                <w:sz w:val="24"/>
                <w:szCs w:val="24"/>
              </w:rPr>
            </w:pPr>
          </w:p>
        </w:tc>
      </w:tr>
      <w:tr w:rsidRPr="00A70107" w:rsidR="00A70107" w:rsidTr="0042235B" w14:paraId="6319EF5B" w14:textId="77777777">
        <w:trPr>
          <w:trHeight w:val="260"/>
        </w:trPr>
        <w:tc>
          <w:tcPr>
            <w:tcW w:w="547" w:type="dxa"/>
          </w:tcPr>
          <w:p w:rsidRPr="00A70107" w:rsidR="00A70107" w:rsidP="00A25435" w:rsidRDefault="00A70107" w14:paraId="4ABC7FF3" w14:textId="77777777">
            <w:pPr>
              <w:pStyle w:val="TableParagraph"/>
              <w:spacing w:before="0"/>
              <w:jc w:val="left"/>
              <w:rPr>
                <w:sz w:val="24"/>
                <w:szCs w:val="24"/>
              </w:rPr>
            </w:pPr>
          </w:p>
        </w:tc>
        <w:tc>
          <w:tcPr>
            <w:tcW w:w="9878" w:type="dxa"/>
          </w:tcPr>
          <w:p w:rsidRPr="00A70107" w:rsidR="00A70107" w:rsidP="005A1E28" w:rsidRDefault="00A70107" w14:paraId="3C855BA7" w14:textId="77777777">
            <w:pPr>
              <w:pStyle w:val="TableParagraph"/>
              <w:tabs>
                <w:tab w:val="left" w:pos="168"/>
              </w:tabs>
              <w:jc w:val="left"/>
              <w:rPr>
                <w:sz w:val="24"/>
                <w:szCs w:val="24"/>
              </w:rPr>
            </w:pPr>
          </w:p>
        </w:tc>
      </w:tr>
      <w:tr w:rsidRPr="00A70107" w:rsidR="000B12A9" w:rsidTr="0042235B" w14:paraId="713CDAFA" w14:textId="77777777">
        <w:trPr>
          <w:trHeight w:val="260"/>
        </w:trPr>
        <w:tc>
          <w:tcPr>
            <w:tcW w:w="547" w:type="dxa"/>
          </w:tcPr>
          <w:p w:rsidRPr="00A70107" w:rsidR="000B12A9" w:rsidP="00A25435" w:rsidRDefault="000B12A9" w14:paraId="6B9BC5A1" w14:textId="77777777">
            <w:pPr>
              <w:pStyle w:val="TableParagraph"/>
              <w:spacing w:before="0"/>
              <w:jc w:val="left"/>
              <w:rPr>
                <w:sz w:val="24"/>
                <w:szCs w:val="24"/>
              </w:rPr>
            </w:pPr>
          </w:p>
        </w:tc>
        <w:tc>
          <w:tcPr>
            <w:tcW w:w="9878" w:type="dxa"/>
          </w:tcPr>
          <w:p w:rsidRPr="00A70107" w:rsidR="000B12A9" w:rsidP="005A1E28" w:rsidRDefault="000B12A9" w14:paraId="51F9A507" w14:textId="77777777">
            <w:pPr>
              <w:pStyle w:val="TableParagraph"/>
              <w:tabs>
                <w:tab w:val="left" w:pos="168"/>
              </w:tabs>
              <w:jc w:val="left"/>
              <w:rPr>
                <w:sz w:val="24"/>
                <w:szCs w:val="24"/>
                <w:u w:val="single"/>
              </w:rPr>
            </w:pPr>
          </w:p>
        </w:tc>
      </w:tr>
    </w:tbl>
    <w:p w:rsidR="006E529B" w:rsidRDefault="006E529B" w14:paraId="4EC50411" w14:textId="77777777"/>
    <w:p w:rsidR="00AD7C65" w:rsidRDefault="00AD7C65" w14:paraId="7739EF71" w14:textId="77777777"/>
    <w:p w:rsidRPr="00577C1D" w:rsidR="00AD7C65" w:rsidP="00577C1D" w:rsidRDefault="00AD7C65" w14:paraId="6D2F37AB" w14:textId="2393335F">
      <w:pPr>
        <w:widowControl/>
        <w:autoSpaceDE/>
        <w:autoSpaceDN/>
        <w:spacing w:after="160" w:line="259" w:lineRule="auto"/>
      </w:pPr>
      <w:r>
        <w:br w:type="page"/>
      </w:r>
      <w:r w:rsidRPr="00C548CF" w:rsidR="00270E18">
        <w:rPr>
          <w:b/>
          <w:bCs/>
        </w:rPr>
        <w:lastRenderedPageBreak/>
        <w:t xml:space="preserve">Appendix </w:t>
      </w:r>
      <w:r w:rsidRPr="00C548CF" w:rsidR="002C4D08">
        <w:rPr>
          <w:b/>
          <w:bCs/>
        </w:rPr>
        <w:t>A</w:t>
      </w:r>
      <w:r w:rsidRPr="00C548CF">
        <w:rPr>
          <w:b/>
          <w:bCs/>
        </w:rPr>
        <w:t xml:space="preserve"> – </w:t>
      </w:r>
      <w:r w:rsidRPr="00C548CF" w:rsidR="002C4D08">
        <w:rPr>
          <w:b/>
          <w:bCs/>
        </w:rPr>
        <w:t>Maintained school balances</w:t>
      </w:r>
    </w:p>
    <w:p w:rsidR="00AD7C65" w:rsidRDefault="00AD7C65" w14:paraId="4777837F" w14:textId="77777777"/>
    <w:p w:rsidR="00AD7C65" w:rsidRDefault="00AD7C65" w14:paraId="4EFC7A06" w14:textId="4F348AC7"/>
    <w:p w:rsidR="00AD7C65" w:rsidRDefault="00086D5D" w14:paraId="46E21EAE" w14:textId="074B8553">
      <w:r>
        <w:rPr>
          <w:noProof/>
        </w:rPr>
        <w:drawing>
          <wp:inline distT="0" distB="0" distL="0" distR="0" wp14:anchorId="77466DE2" wp14:editId="2ED0AE12">
            <wp:extent cx="5731510" cy="453326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4533265"/>
                    </a:xfrm>
                    <a:prstGeom prst="rect">
                      <a:avLst/>
                    </a:prstGeom>
                  </pic:spPr>
                </pic:pic>
              </a:graphicData>
            </a:graphic>
          </wp:inline>
        </w:drawing>
      </w:r>
    </w:p>
    <w:p w:rsidR="00AD7C65" w:rsidRDefault="00AD7C65" w14:paraId="6BBFE5A1" w14:textId="2CB467B3"/>
    <w:p w:rsidR="004E1FCE" w:rsidRDefault="004E1FCE" w14:paraId="3BD94B53" w14:textId="77777777"/>
    <w:p w:rsidR="004E1FCE" w:rsidRDefault="004E1FCE" w14:paraId="1A2B701E" w14:textId="77777777">
      <w:r>
        <w:br/>
      </w:r>
    </w:p>
    <w:p w:rsidR="004E1FCE" w:rsidRDefault="004E1FCE" w14:paraId="0F78F4E2" w14:textId="77777777"/>
    <w:p w:rsidR="004E1FCE" w:rsidRDefault="004E1FCE" w14:paraId="2E574E9B" w14:textId="376BCC53"/>
    <w:p w:rsidR="00C617A6" w:rsidRDefault="00C617A6" w14:paraId="3D8A5788" w14:textId="7F4CCBE7"/>
    <w:p w:rsidR="00C617A6" w:rsidRDefault="00C617A6" w14:paraId="40375268" w14:textId="2561326E"/>
    <w:p w:rsidR="00C617A6" w:rsidRDefault="00C617A6" w14:paraId="1CD866DA" w14:textId="34EE7836"/>
    <w:p w:rsidR="00C617A6" w:rsidRDefault="00C617A6" w14:paraId="3B86803E" w14:textId="31F28F16"/>
    <w:p w:rsidR="00C617A6" w:rsidRDefault="00C617A6" w14:paraId="4167FA30" w14:textId="4CF5C9F2"/>
    <w:p w:rsidR="00C617A6" w:rsidRDefault="00C617A6" w14:paraId="0C511FD6" w14:textId="1F3EFCD5"/>
    <w:p w:rsidR="00C617A6" w:rsidRDefault="00C617A6" w14:paraId="4E7631AC" w14:textId="275C7977"/>
    <w:p w:rsidR="00C617A6" w:rsidRDefault="00C617A6" w14:paraId="21AC85E0" w14:textId="7298AC54"/>
    <w:p w:rsidR="00C617A6" w:rsidRDefault="00C617A6" w14:paraId="6617F711" w14:textId="406E3E63"/>
    <w:p w:rsidR="00C617A6" w:rsidRDefault="00C617A6" w14:paraId="605C356D" w14:textId="4C7A9227"/>
    <w:p w:rsidR="00C617A6" w:rsidRDefault="00C617A6" w14:paraId="1545D02A" w14:textId="324FA79C"/>
    <w:p w:rsidR="00C617A6" w:rsidRDefault="00C617A6" w14:paraId="34DDE909" w14:textId="4041BE2F"/>
    <w:p w:rsidR="00C617A6" w:rsidRDefault="00C617A6" w14:paraId="3529E897" w14:textId="23CCC8B1"/>
    <w:p w:rsidR="00C617A6" w:rsidRDefault="00C617A6" w14:paraId="023BEDFE" w14:textId="5025EBE2"/>
    <w:p w:rsidR="00C617A6" w:rsidRDefault="00C617A6" w14:paraId="59D7294D" w14:textId="2E58448B"/>
    <w:p w:rsidR="00C617A6" w:rsidRDefault="00C617A6" w14:paraId="0B4A4C9C" w14:textId="3C69B46B"/>
    <w:p w:rsidR="00577C1D" w:rsidRDefault="00577C1D" w14:paraId="202A85FC" w14:textId="77777777"/>
    <w:p w:rsidR="00C617A6" w:rsidRDefault="00C617A6" w14:paraId="0E626E55" w14:textId="742FEAAE">
      <w:pPr>
        <w:rPr>
          <w:b/>
          <w:bCs/>
        </w:rPr>
      </w:pPr>
      <w:r w:rsidRPr="00C617A6">
        <w:rPr>
          <w:b/>
          <w:bCs/>
        </w:rPr>
        <w:lastRenderedPageBreak/>
        <w:t xml:space="preserve">APPENDIX </w:t>
      </w:r>
      <w:r w:rsidR="00164F06">
        <w:rPr>
          <w:b/>
          <w:bCs/>
        </w:rPr>
        <w:t xml:space="preserve">B </w:t>
      </w:r>
      <w:r w:rsidRPr="00C617A6">
        <w:rPr>
          <w:b/>
          <w:bCs/>
        </w:rPr>
        <w:t>-</w:t>
      </w:r>
      <w:r w:rsidR="00164F06">
        <w:rPr>
          <w:b/>
          <w:bCs/>
        </w:rPr>
        <w:t xml:space="preserve"> </w:t>
      </w:r>
      <w:r w:rsidRPr="00C617A6">
        <w:rPr>
          <w:b/>
          <w:bCs/>
        </w:rPr>
        <w:t>Academy School Balances</w:t>
      </w:r>
    </w:p>
    <w:p w:rsidRPr="00C617A6" w:rsidR="0084577F" w:rsidRDefault="0084577F" w14:paraId="6D4B0C45" w14:textId="77777777">
      <w:pPr>
        <w:rPr>
          <w:b/>
          <w:bCs/>
        </w:rPr>
      </w:pPr>
    </w:p>
    <w:p w:rsidR="00C617A6" w:rsidRDefault="0084577F" w14:paraId="439315ED" w14:textId="091E5013">
      <w:r w:rsidRPr="00E73280">
        <w:rPr>
          <w:noProof/>
        </w:rPr>
        <w:drawing>
          <wp:anchor distT="0" distB="0" distL="114300" distR="114300" simplePos="0" relativeHeight="251659264" behindDoc="1" locked="0" layoutInCell="1" allowOverlap="1" wp14:editId="7788B0DD" wp14:anchorId="6AF2969B">
            <wp:simplePos x="0" y="0"/>
            <wp:positionH relativeFrom="column">
              <wp:posOffset>0</wp:posOffset>
            </wp:positionH>
            <wp:positionV relativeFrom="paragraph">
              <wp:posOffset>-635</wp:posOffset>
            </wp:positionV>
            <wp:extent cx="5121910" cy="8539480"/>
            <wp:effectExtent l="0" t="0" r="2540" b="0"/>
            <wp:wrapTight wrapText="bothSides">
              <wp:wrapPolygon edited="0">
                <wp:start x="0" y="0"/>
                <wp:lineTo x="0" y="21539"/>
                <wp:lineTo x="19201" y="21539"/>
                <wp:lineTo x="20486" y="21491"/>
                <wp:lineTo x="21530" y="21202"/>
                <wp:lineTo x="21530" y="13974"/>
                <wp:lineTo x="20807" y="13877"/>
                <wp:lineTo x="21530" y="13637"/>
                <wp:lineTo x="21530" y="12576"/>
                <wp:lineTo x="21370" y="12528"/>
                <wp:lineTo x="19924" y="12336"/>
                <wp:lineTo x="21209" y="12336"/>
                <wp:lineTo x="21530" y="12191"/>
                <wp:lineTo x="215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1910" cy="8539480"/>
                    </a:xfrm>
                    <a:prstGeom prst="rect">
                      <a:avLst/>
                    </a:prstGeom>
                    <a:noFill/>
                    <a:ln>
                      <a:noFill/>
                    </a:ln>
                  </pic:spPr>
                </pic:pic>
              </a:graphicData>
            </a:graphic>
            <wp14:sizeRelV relativeFrom="margin">
              <wp14:pctHeight>0</wp14:pctHeight>
            </wp14:sizeRelV>
          </wp:anchor>
        </w:drawing>
      </w:r>
    </w:p>
    <w:p w:rsidR="00C617A6" w:rsidRDefault="00C617A6" w14:paraId="7B983752" w14:textId="1302F3F4"/>
    <w:sectPr w:rsidR="00C617A6" w:rsidSect="005761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8A221" w14:textId="77777777" w:rsidR="00A25435" w:rsidRDefault="00A25435" w:rsidP="00A25435">
      <w:r>
        <w:separator/>
      </w:r>
    </w:p>
  </w:endnote>
  <w:endnote w:type="continuationSeparator" w:id="0">
    <w:p w14:paraId="1A9C2653" w14:textId="77777777" w:rsidR="00A25435" w:rsidRDefault="00A25435" w:rsidP="00A2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424CE" w14:textId="77777777" w:rsidR="00A25435" w:rsidRDefault="00A25435" w:rsidP="00A25435">
      <w:r>
        <w:separator/>
      </w:r>
    </w:p>
  </w:footnote>
  <w:footnote w:type="continuationSeparator" w:id="0">
    <w:p w14:paraId="07FB2F79" w14:textId="77777777" w:rsidR="00A25435" w:rsidRDefault="00A25435" w:rsidP="00A25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D56CD"/>
    <w:multiLevelType w:val="hybridMultilevel"/>
    <w:tmpl w:val="65587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640AED"/>
    <w:multiLevelType w:val="hybridMultilevel"/>
    <w:tmpl w:val="A9A2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223346"/>
    <w:multiLevelType w:val="hybridMultilevel"/>
    <w:tmpl w:val="846A7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3D13FC"/>
    <w:multiLevelType w:val="hybridMultilevel"/>
    <w:tmpl w:val="AACC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C61989"/>
    <w:multiLevelType w:val="hybridMultilevel"/>
    <w:tmpl w:val="A078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847618">
    <w:abstractNumId w:val="1"/>
  </w:num>
  <w:num w:numId="2" w16cid:durableId="473252090">
    <w:abstractNumId w:val="0"/>
  </w:num>
  <w:num w:numId="3" w16cid:durableId="1382510089">
    <w:abstractNumId w:val="2"/>
  </w:num>
  <w:num w:numId="4" w16cid:durableId="1849321956">
    <w:abstractNumId w:val="4"/>
  </w:num>
  <w:num w:numId="5" w16cid:durableId="276836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29B"/>
    <w:rsid w:val="00006F53"/>
    <w:rsid w:val="00014858"/>
    <w:rsid w:val="00086D5D"/>
    <w:rsid w:val="00092B6A"/>
    <w:rsid w:val="000A495B"/>
    <w:rsid w:val="000B12A9"/>
    <w:rsid w:val="000D11FA"/>
    <w:rsid w:val="00103506"/>
    <w:rsid w:val="00120DC5"/>
    <w:rsid w:val="00164F06"/>
    <w:rsid w:val="001F3BC0"/>
    <w:rsid w:val="002076A8"/>
    <w:rsid w:val="00224E0D"/>
    <w:rsid w:val="002458E9"/>
    <w:rsid w:val="00270E18"/>
    <w:rsid w:val="002C4D08"/>
    <w:rsid w:val="002C7CC8"/>
    <w:rsid w:val="002F16B8"/>
    <w:rsid w:val="00351067"/>
    <w:rsid w:val="00386710"/>
    <w:rsid w:val="004048F8"/>
    <w:rsid w:val="0042235B"/>
    <w:rsid w:val="00450773"/>
    <w:rsid w:val="004E1FCE"/>
    <w:rsid w:val="004E4032"/>
    <w:rsid w:val="005761DD"/>
    <w:rsid w:val="00577C1D"/>
    <w:rsid w:val="005F2316"/>
    <w:rsid w:val="00672518"/>
    <w:rsid w:val="006765A3"/>
    <w:rsid w:val="006E4FB3"/>
    <w:rsid w:val="006E529B"/>
    <w:rsid w:val="00703ADF"/>
    <w:rsid w:val="007248F2"/>
    <w:rsid w:val="00726E7F"/>
    <w:rsid w:val="00761BF3"/>
    <w:rsid w:val="007801E8"/>
    <w:rsid w:val="00785F13"/>
    <w:rsid w:val="00786668"/>
    <w:rsid w:val="007A65CB"/>
    <w:rsid w:val="007D4FF9"/>
    <w:rsid w:val="00806BDD"/>
    <w:rsid w:val="0084577F"/>
    <w:rsid w:val="0087170A"/>
    <w:rsid w:val="00890E07"/>
    <w:rsid w:val="00894C0D"/>
    <w:rsid w:val="008A28A5"/>
    <w:rsid w:val="008A4E97"/>
    <w:rsid w:val="008B115D"/>
    <w:rsid w:val="008C4FD9"/>
    <w:rsid w:val="00922068"/>
    <w:rsid w:val="00962320"/>
    <w:rsid w:val="00986FEE"/>
    <w:rsid w:val="009964CA"/>
    <w:rsid w:val="009B3E2A"/>
    <w:rsid w:val="009C790B"/>
    <w:rsid w:val="00A17EA7"/>
    <w:rsid w:val="00A25435"/>
    <w:rsid w:val="00A43ABA"/>
    <w:rsid w:val="00A556A3"/>
    <w:rsid w:val="00A70107"/>
    <w:rsid w:val="00AD7C65"/>
    <w:rsid w:val="00AE6495"/>
    <w:rsid w:val="00C072AA"/>
    <w:rsid w:val="00C30FA0"/>
    <w:rsid w:val="00C548CF"/>
    <w:rsid w:val="00C617A6"/>
    <w:rsid w:val="00C94232"/>
    <w:rsid w:val="00CF15C1"/>
    <w:rsid w:val="00D07773"/>
    <w:rsid w:val="00D16E2A"/>
    <w:rsid w:val="00DA4B01"/>
    <w:rsid w:val="00DA686E"/>
    <w:rsid w:val="00DB637E"/>
    <w:rsid w:val="00E226C5"/>
    <w:rsid w:val="00F1773F"/>
    <w:rsid w:val="00F9535B"/>
    <w:rsid w:val="00FC3A5A"/>
    <w:rsid w:val="00FD5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A57E1"/>
  <w15:chartTrackingRefBased/>
  <w15:docId w15:val="{B07A32C0-B46E-43C4-AB6B-07579496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529B"/>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E529B"/>
    <w:rPr>
      <w:sz w:val="24"/>
      <w:szCs w:val="24"/>
    </w:rPr>
  </w:style>
  <w:style w:type="character" w:customStyle="1" w:styleId="BodyTextChar">
    <w:name w:val="Body Text Char"/>
    <w:basedOn w:val="DefaultParagraphFont"/>
    <w:link w:val="BodyText"/>
    <w:uiPriority w:val="1"/>
    <w:rsid w:val="006E529B"/>
    <w:rPr>
      <w:rFonts w:ascii="Arial" w:eastAsia="Arial" w:hAnsi="Arial" w:cs="Arial"/>
      <w:sz w:val="24"/>
      <w:szCs w:val="24"/>
      <w:lang w:val="en-US"/>
    </w:rPr>
  </w:style>
  <w:style w:type="paragraph" w:customStyle="1" w:styleId="TableParagraph">
    <w:name w:val="Table Paragraph"/>
    <w:basedOn w:val="Normal"/>
    <w:uiPriority w:val="1"/>
    <w:qFormat/>
    <w:rsid w:val="006E529B"/>
    <w:pPr>
      <w:spacing w:before="5"/>
      <w:jc w:val="right"/>
    </w:pPr>
  </w:style>
  <w:style w:type="paragraph" w:styleId="Header">
    <w:name w:val="header"/>
    <w:basedOn w:val="Normal"/>
    <w:link w:val="HeaderChar"/>
    <w:uiPriority w:val="99"/>
    <w:unhideWhenUsed/>
    <w:rsid w:val="00A25435"/>
    <w:pPr>
      <w:tabs>
        <w:tab w:val="center" w:pos="4513"/>
        <w:tab w:val="right" w:pos="9026"/>
      </w:tabs>
    </w:pPr>
  </w:style>
  <w:style w:type="character" w:customStyle="1" w:styleId="HeaderChar">
    <w:name w:val="Header Char"/>
    <w:basedOn w:val="DefaultParagraphFont"/>
    <w:link w:val="Header"/>
    <w:uiPriority w:val="99"/>
    <w:rsid w:val="00A25435"/>
    <w:rPr>
      <w:rFonts w:ascii="Arial" w:eastAsia="Arial" w:hAnsi="Arial" w:cs="Arial"/>
      <w:lang w:val="en-US"/>
    </w:rPr>
  </w:style>
  <w:style w:type="paragraph" w:styleId="Footer">
    <w:name w:val="footer"/>
    <w:basedOn w:val="Normal"/>
    <w:link w:val="FooterChar"/>
    <w:uiPriority w:val="99"/>
    <w:unhideWhenUsed/>
    <w:rsid w:val="00A25435"/>
    <w:pPr>
      <w:tabs>
        <w:tab w:val="center" w:pos="4513"/>
        <w:tab w:val="right" w:pos="9026"/>
      </w:tabs>
    </w:pPr>
  </w:style>
  <w:style w:type="character" w:customStyle="1" w:styleId="FooterChar">
    <w:name w:val="Footer Char"/>
    <w:basedOn w:val="DefaultParagraphFont"/>
    <w:link w:val="Footer"/>
    <w:uiPriority w:val="99"/>
    <w:rsid w:val="00A25435"/>
    <w:rPr>
      <w:rFonts w:ascii="Arial" w:eastAsia="Arial" w:hAnsi="Arial" w:cs="Arial"/>
      <w:lang w:val="en-US"/>
    </w:rPr>
  </w:style>
  <w:style w:type="table" w:styleId="TableGrid">
    <w:name w:val="Table Grid"/>
    <w:basedOn w:val="TableNormal"/>
    <w:uiPriority w:val="39"/>
    <w:rsid w:val="00404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2773">
      <w:bodyDiv w:val="1"/>
      <w:marLeft w:val="0"/>
      <w:marRight w:val="0"/>
      <w:marTop w:val="0"/>
      <w:marBottom w:val="0"/>
      <w:divBdr>
        <w:top w:val="none" w:sz="0" w:space="0" w:color="auto"/>
        <w:left w:val="none" w:sz="0" w:space="0" w:color="auto"/>
        <w:bottom w:val="none" w:sz="0" w:space="0" w:color="auto"/>
        <w:right w:val="none" w:sz="0" w:space="0" w:color="auto"/>
      </w:divBdr>
    </w:div>
    <w:div w:id="178544534">
      <w:bodyDiv w:val="1"/>
      <w:marLeft w:val="0"/>
      <w:marRight w:val="0"/>
      <w:marTop w:val="0"/>
      <w:marBottom w:val="0"/>
      <w:divBdr>
        <w:top w:val="none" w:sz="0" w:space="0" w:color="auto"/>
        <w:left w:val="none" w:sz="0" w:space="0" w:color="auto"/>
        <w:bottom w:val="none" w:sz="0" w:space="0" w:color="auto"/>
        <w:right w:val="none" w:sz="0" w:space="0" w:color="auto"/>
      </w:divBdr>
    </w:div>
    <w:div w:id="389349425">
      <w:bodyDiv w:val="1"/>
      <w:marLeft w:val="0"/>
      <w:marRight w:val="0"/>
      <w:marTop w:val="0"/>
      <w:marBottom w:val="0"/>
      <w:divBdr>
        <w:top w:val="none" w:sz="0" w:space="0" w:color="auto"/>
        <w:left w:val="none" w:sz="0" w:space="0" w:color="auto"/>
        <w:bottom w:val="none" w:sz="0" w:space="0" w:color="auto"/>
        <w:right w:val="none" w:sz="0" w:space="0" w:color="auto"/>
      </w:divBdr>
    </w:div>
    <w:div w:id="426272058">
      <w:bodyDiv w:val="1"/>
      <w:marLeft w:val="0"/>
      <w:marRight w:val="0"/>
      <w:marTop w:val="0"/>
      <w:marBottom w:val="0"/>
      <w:divBdr>
        <w:top w:val="none" w:sz="0" w:space="0" w:color="auto"/>
        <w:left w:val="none" w:sz="0" w:space="0" w:color="auto"/>
        <w:bottom w:val="none" w:sz="0" w:space="0" w:color="auto"/>
        <w:right w:val="none" w:sz="0" w:space="0" w:color="auto"/>
      </w:divBdr>
    </w:div>
    <w:div w:id="496307678">
      <w:bodyDiv w:val="1"/>
      <w:marLeft w:val="0"/>
      <w:marRight w:val="0"/>
      <w:marTop w:val="0"/>
      <w:marBottom w:val="0"/>
      <w:divBdr>
        <w:top w:val="none" w:sz="0" w:space="0" w:color="auto"/>
        <w:left w:val="none" w:sz="0" w:space="0" w:color="auto"/>
        <w:bottom w:val="none" w:sz="0" w:space="0" w:color="auto"/>
        <w:right w:val="none" w:sz="0" w:space="0" w:color="auto"/>
      </w:divBdr>
    </w:div>
    <w:div w:id="541330926">
      <w:bodyDiv w:val="1"/>
      <w:marLeft w:val="0"/>
      <w:marRight w:val="0"/>
      <w:marTop w:val="0"/>
      <w:marBottom w:val="0"/>
      <w:divBdr>
        <w:top w:val="none" w:sz="0" w:space="0" w:color="auto"/>
        <w:left w:val="none" w:sz="0" w:space="0" w:color="auto"/>
        <w:bottom w:val="none" w:sz="0" w:space="0" w:color="auto"/>
        <w:right w:val="none" w:sz="0" w:space="0" w:color="auto"/>
      </w:divBdr>
    </w:div>
    <w:div w:id="596210770">
      <w:bodyDiv w:val="1"/>
      <w:marLeft w:val="0"/>
      <w:marRight w:val="0"/>
      <w:marTop w:val="0"/>
      <w:marBottom w:val="0"/>
      <w:divBdr>
        <w:top w:val="none" w:sz="0" w:space="0" w:color="auto"/>
        <w:left w:val="none" w:sz="0" w:space="0" w:color="auto"/>
        <w:bottom w:val="none" w:sz="0" w:space="0" w:color="auto"/>
        <w:right w:val="none" w:sz="0" w:space="0" w:color="auto"/>
      </w:divBdr>
    </w:div>
    <w:div w:id="691956101">
      <w:bodyDiv w:val="1"/>
      <w:marLeft w:val="0"/>
      <w:marRight w:val="0"/>
      <w:marTop w:val="0"/>
      <w:marBottom w:val="0"/>
      <w:divBdr>
        <w:top w:val="none" w:sz="0" w:space="0" w:color="auto"/>
        <w:left w:val="none" w:sz="0" w:space="0" w:color="auto"/>
        <w:bottom w:val="none" w:sz="0" w:space="0" w:color="auto"/>
        <w:right w:val="none" w:sz="0" w:space="0" w:color="auto"/>
      </w:divBdr>
    </w:div>
    <w:div w:id="846868100">
      <w:bodyDiv w:val="1"/>
      <w:marLeft w:val="0"/>
      <w:marRight w:val="0"/>
      <w:marTop w:val="0"/>
      <w:marBottom w:val="0"/>
      <w:divBdr>
        <w:top w:val="none" w:sz="0" w:space="0" w:color="auto"/>
        <w:left w:val="none" w:sz="0" w:space="0" w:color="auto"/>
        <w:bottom w:val="none" w:sz="0" w:space="0" w:color="auto"/>
        <w:right w:val="none" w:sz="0" w:space="0" w:color="auto"/>
      </w:divBdr>
    </w:div>
    <w:div w:id="848065781">
      <w:bodyDiv w:val="1"/>
      <w:marLeft w:val="0"/>
      <w:marRight w:val="0"/>
      <w:marTop w:val="0"/>
      <w:marBottom w:val="0"/>
      <w:divBdr>
        <w:top w:val="none" w:sz="0" w:space="0" w:color="auto"/>
        <w:left w:val="none" w:sz="0" w:space="0" w:color="auto"/>
        <w:bottom w:val="none" w:sz="0" w:space="0" w:color="auto"/>
        <w:right w:val="none" w:sz="0" w:space="0" w:color="auto"/>
      </w:divBdr>
    </w:div>
    <w:div w:id="1037044291">
      <w:bodyDiv w:val="1"/>
      <w:marLeft w:val="0"/>
      <w:marRight w:val="0"/>
      <w:marTop w:val="0"/>
      <w:marBottom w:val="0"/>
      <w:divBdr>
        <w:top w:val="none" w:sz="0" w:space="0" w:color="auto"/>
        <w:left w:val="none" w:sz="0" w:space="0" w:color="auto"/>
        <w:bottom w:val="none" w:sz="0" w:space="0" w:color="auto"/>
        <w:right w:val="none" w:sz="0" w:space="0" w:color="auto"/>
      </w:divBdr>
    </w:div>
    <w:div w:id="1193151019">
      <w:bodyDiv w:val="1"/>
      <w:marLeft w:val="0"/>
      <w:marRight w:val="0"/>
      <w:marTop w:val="0"/>
      <w:marBottom w:val="0"/>
      <w:divBdr>
        <w:top w:val="none" w:sz="0" w:space="0" w:color="auto"/>
        <w:left w:val="none" w:sz="0" w:space="0" w:color="auto"/>
        <w:bottom w:val="none" w:sz="0" w:space="0" w:color="auto"/>
        <w:right w:val="none" w:sz="0" w:space="0" w:color="auto"/>
      </w:divBdr>
    </w:div>
    <w:div w:id="1257134256">
      <w:bodyDiv w:val="1"/>
      <w:marLeft w:val="0"/>
      <w:marRight w:val="0"/>
      <w:marTop w:val="0"/>
      <w:marBottom w:val="0"/>
      <w:divBdr>
        <w:top w:val="none" w:sz="0" w:space="0" w:color="auto"/>
        <w:left w:val="none" w:sz="0" w:space="0" w:color="auto"/>
        <w:bottom w:val="none" w:sz="0" w:space="0" w:color="auto"/>
        <w:right w:val="none" w:sz="0" w:space="0" w:color="auto"/>
      </w:divBdr>
    </w:div>
    <w:div w:id="1353847707">
      <w:bodyDiv w:val="1"/>
      <w:marLeft w:val="0"/>
      <w:marRight w:val="0"/>
      <w:marTop w:val="0"/>
      <w:marBottom w:val="0"/>
      <w:divBdr>
        <w:top w:val="none" w:sz="0" w:space="0" w:color="auto"/>
        <w:left w:val="none" w:sz="0" w:space="0" w:color="auto"/>
        <w:bottom w:val="none" w:sz="0" w:space="0" w:color="auto"/>
        <w:right w:val="none" w:sz="0" w:space="0" w:color="auto"/>
      </w:divBdr>
    </w:div>
    <w:div w:id="1365205293">
      <w:bodyDiv w:val="1"/>
      <w:marLeft w:val="0"/>
      <w:marRight w:val="0"/>
      <w:marTop w:val="0"/>
      <w:marBottom w:val="0"/>
      <w:divBdr>
        <w:top w:val="none" w:sz="0" w:space="0" w:color="auto"/>
        <w:left w:val="none" w:sz="0" w:space="0" w:color="auto"/>
        <w:bottom w:val="none" w:sz="0" w:space="0" w:color="auto"/>
        <w:right w:val="none" w:sz="0" w:space="0" w:color="auto"/>
      </w:divBdr>
    </w:div>
    <w:div w:id="1418743235">
      <w:bodyDiv w:val="1"/>
      <w:marLeft w:val="0"/>
      <w:marRight w:val="0"/>
      <w:marTop w:val="0"/>
      <w:marBottom w:val="0"/>
      <w:divBdr>
        <w:top w:val="none" w:sz="0" w:space="0" w:color="auto"/>
        <w:left w:val="none" w:sz="0" w:space="0" w:color="auto"/>
        <w:bottom w:val="none" w:sz="0" w:space="0" w:color="auto"/>
        <w:right w:val="none" w:sz="0" w:space="0" w:color="auto"/>
      </w:divBdr>
    </w:div>
    <w:div w:id="1425757955">
      <w:bodyDiv w:val="1"/>
      <w:marLeft w:val="0"/>
      <w:marRight w:val="0"/>
      <w:marTop w:val="0"/>
      <w:marBottom w:val="0"/>
      <w:divBdr>
        <w:top w:val="none" w:sz="0" w:space="0" w:color="auto"/>
        <w:left w:val="none" w:sz="0" w:space="0" w:color="auto"/>
        <w:bottom w:val="none" w:sz="0" w:space="0" w:color="auto"/>
        <w:right w:val="none" w:sz="0" w:space="0" w:color="auto"/>
      </w:divBdr>
    </w:div>
    <w:div w:id="1433277335">
      <w:bodyDiv w:val="1"/>
      <w:marLeft w:val="0"/>
      <w:marRight w:val="0"/>
      <w:marTop w:val="0"/>
      <w:marBottom w:val="0"/>
      <w:divBdr>
        <w:top w:val="none" w:sz="0" w:space="0" w:color="auto"/>
        <w:left w:val="none" w:sz="0" w:space="0" w:color="auto"/>
        <w:bottom w:val="none" w:sz="0" w:space="0" w:color="auto"/>
        <w:right w:val="none" w:sz="0" w:space="0" w:color="auto"/>
      </w:divBdr>
    </w:div>
    <w:div w:id="1513256968">
      <w:bodyDiv w:val="1"/>
      <w:marLeft w:val="0"/>
      <w:marRight w:val="0"/>
      <w:marTop w:val="0"/>
      <w:marBottom w:val="0"/>
      <w:divBdr>
        <w:top w:val="none" w:sz="0" w:space="0" w:color="auto"/>
        <w:left w:val="none" w:sz="0" w:space="0" w:color="auto"/>
        <w:bottom w:val="none" w:sz="0" w:space="0" w:color="auto"/>
        <w:right w:val="none" w:sz="0" w:space="0" w:color="auto"/>
      </w:divBdr>
    </w:div>
    <w:div w:id="1671523389">
      <w:bodyDiv w:val="1"/>
      <w:marLeft w:val="0"/>
      <w:marRight w:val="0"/>
      <w:marTop w:val="0"/>
      <w:marBottom w:val="0"/>
      <w:divBdr>
        <w:top w:val="none" w:sz="0" w:space="0" w:color="auto"/>
        <w:left w:val="none" w:sz="0" w:space="0" w:color="auto"/>
        <w:bottom w:val="none" w:sz="0" w:space="0" w:color="auto"/>
        <w:right w:val="none" w:sz="0" w:space="0" w:color="auto"/>
      </w:divBdr>
    </w:div>
    <w:div w:id="1813326547">
      <w:bodyDiv w:val="1"/>
      <w:marLeft w:val="0"/>
      <w:marRight w:val="0"/>
      <w:marTop w:val="0"/>
      <w:marBottom w:val="0"/>
      <w:divBdr>
        <w:top w:val="none" w:sz="0" w:space="0" w:color="auto"/>
        <w:left w:val="none" w:sz="0" w:space="0" w:color="auto"/>
        <w:bottom w:val="none" w:sz="0" w:space="0" w:color="auto"/>
        <w:right w:val="none" w:sz="0" w:space="0" w:color="auto"/>
      </w:divBdr>
    </w:div>
    <w:div w:id="186497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charts/_rels/chart1.xml.rels><?xml version="1.0" encoding="UTF-8" standalone="yes"?>
<Relationships xmlns="http://schemas.openxmlformats.org/package/2006/relationships"><Relationship Id="rId3" Type="http://schemas.openxmlformats.org/officeDocument/2006/relationships/oleObject" Target="file:///\\corp.peterborough.gov.uk\Commissioning%20&amp;%20Performance\Data\Finance\Shared\Schools\2022-23\Schools%20Forum\13th%20July%202022\Schools%20balanc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Maintained Schools Balances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Sheet1!$AA$3</c:f>
              <c:strCache>
                <c:ptCount val="1"/>
                <c:pt idx="0">
                  <c:v>Schools Balances</c:v>
                </c:pt>
              </c:strCache>
            </c:strRef>
          </c:tx>
          <c:spPr>
            <a:ln w="28575" cap="rnd">
              <a:solidFill>
                <a:schemeClr val="accent1"/>
              </a:solidFill>
              <a:round/>
            </a:ln>
            <a:effectLst/>
          </c:spPr>
          <c:marker>
            <c:symbol val="none"/>
          </c:marker>
          <c:cat>
            <c:strRef>
              <c:f>Sheet1!$AB$2:$AF$2</c:f>
              <c:strCache>
                <c:ptCount val="5"/>
                <c:pt idx="0">
                  <c:v>2017/18</c:v>
                </c:pt>
                <c:pt idx="1">
                  <c:v>2018/19</c:v>
                </c:pt>
                <c:pt idx="2">
                  <c:v>2019/20</c:v>
                </c:pt>
                <c:pt idx="3">
                  <c:v>2020/21</c:v>
                </c:pt>
                <c:pt idx="4">
                  <c:v>2021/22</c:v>
                </c:pt>
              </c:strCache>
            </c:strRef>
          </c:cat>
          <c:val>
            <c:numRef>
              <c:f>Sheet1!$AB$3:$AF$3</c:f>
              <c:numCache>
                <c:formatCode>#,##0</c:formatCode>
                <c:ptCount val="5"/>
                <c:pt idx="0">
                  <c:v>2083828</c:v>
                </c:pt>
                <c:pt idx="1">
                  <c:v>2246318</c:v>
                </c:pt>
                <c:pt idx="2">
                  <c:v>2528726</c:v>
                </c:pt>
                <c:pt idx="3">
                  <c:v>4381373</c:v>
                </c:pt>
                <c:pt idx="4">
                  <c:v>3596182</c:v>
                </c:pt>
              </c:numCache>
            </c:numRef>
          </c:val>
          <c:smooth val="0"/>
          <c:extLst>
            <c:ext xmlns:c16="http://schemas.microsoft.com/office/drawing/2014/chart" uri="{C3380CC4-5D6E-409C-BE32-E72D297353CC}">
              <c16:uniqueId val="{00000000-6E83-474E-B1AB-E3F3441E5C95}"/>
            </c:ext>
          </c:extLst>
        </c:ser>
        <c:dLbls>
          <c:showLegendKey val="0"/>
          <c:showVal val="0"/>
          <c:showCatName val="0"/>
          <c:showSerName val="0"/>
          <c:showPercent val="0"/>
          <c:showBubbleSize val="0"/>
        </c:dLbls>
        <c:smooth val="0"/>
        <c:axId val="1111254736"/>
        <c:axId val="1111257032"/>
      </c:lineChart>
      <c:catAx>
        <c:axId val="111125473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Financial</a:t>
                </a:r>
                <a:r>
                  <a:rPr lang="en-GB" b="1" baseline="0"/>
                  <a:t> Year</a:t>
                </a:r>
                <a:endParaRPr lang="en-GB"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11257032"/>
        <c:crosses val="autoZero"/>
        <c:auto val="1"/>
        <c:lblAlgn val="ctr"/>
        <c:lblOffset val="100"/>
        <c:noMultiLvlLbl val="0"/>
      </c:catAx>
      <c:valAx>
        <c:axId val="1111257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112547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Peterborough City Council</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Schools Balances</dc:title>
  <dc:subject>
  </dc:subject>
  <dc:creator>Courtman Margaret</dc:creator>
  <cp:keywords>
  </cp:keywords>
  <dc:description>
  </dc:description>
  <cp:lastModifiedBy>Jonathan Lewis</cp:lastModifiedBy>
  <cp:revision>3</cp:revision>
  <dcterms:created xsi:type="dcterms:W3CDTF">2022-07-07T21:09:00Z</dcterms:created>
  <dcterms:modified xsi:type="dcterms:W3CDTF">2022-07-10T17:42:20Z</dcterms:modified>
</cp:coreProperties>
</file>