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6E5B" w:rsidP="005A6E5B" w:rsidRDefault="005A6E5B" w14:paraId="1799D953" w14:textId="77777777">
      <w:pPr>
        <w:pStyle w:val="Default"/>
      </w:pPr>
    </w:p>
    <w:p w:rsidRPr="005A6E5B" w:rsidR="005A6E5B" w:rsidP="005A6E5B" w:rsidRDefault="005A6E5B" w14:paraId="0432F20A" w14:textId="76E25390">
      <w:pPr>
        <w:pStyle w:val="Default"/>
        <w:spacing w:line="360" w:lineRule="auto"/>
        <w:jc w:val="center"/>
        <w:rPr>
          <w:sz w:val="36"/>
          <w:szCs w:val="36"/>
          <w:u w:val="single"/>
        </w:rPr>
      </w:pPr>
      <w:r w:rsidRPr="005A6E5B">
        <w:rPr>
          <w:b/>
          <w:bCs/>
          <w:sz w:val="36"/>
          <w:szCs w:val="36"/>
          <w:u w:val="single"/>
        </w:rPr>
        <w:t>Peterborough Schools Forum</w:t>
      </w:r>
    </w:p>
    <w:p w:rsidRPr="005A6E5B" w:rsidR="005A6E5B" w:rsidP="005A6E5B" w:rsidRDefault="004E293A" w14:paraId="317C158B" w14:textId="5321441E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Wednesday </w:t>
      </w:r>
      <w:r w:rsidR="008E062A">
        <w:rPr>
          <w:b/>
          <w:bCs/>
          <w:sz w:val="22"/>
          <w:szCs w:val="22"/>
        </w:rPr>
        <w:t>23</w:t>
      </w:r>
      <w:r w:rsidRPr="008E062A" w:rsidR="008E062A">
        <w:rPr>
          <w:b/>
          <w:bCs/>
          <w:sz w:val="22"/>
          <w:szCs w:val="22"/>
          <w:vertAlign w:val="superscript"/>
        </w:rPr>
        <w:t>rd</w:t>
      </w:r>
      <w:r w:rsidR="008E062A">
        <w:rPr>
          <w:b/>
          <w:bCs/>
          <w:sz w:val="22"/>
          <w:szCs w:val="22"/>
        </w:rPr>
        <w:t xml:space="preserve"> February</w:t>
      </w:r>
      <w:r w:rsidR="0025258A">
        <w:rPr>
          <w:b/>
          <w:bCs/>
          <w:sz w:val="22"/>
          <w:szCs w:val="22"/>
        </w:rPr>
        <w:t xml:space="preserve"> 2022</w:t>
      </w:r>
    </w:p>
    <w:p w:rsidRPr="005A6E5B" w:rsidR="002947B5" w:rsidP="005A6E5B" w:rsidRDefault="008E062A" w14:paraId="17262722" w14:textId="21B372D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 am – 12 pm</w:t>
      </w:r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1980"/>
        <w:gridCol w:w="3544"/>
        <w:gridCol w:w="3690"/>
      </w:tblGrid>
      <w:tr w:rsidRPr="001929D2" w:rsidR="00732B6A" w:rsidTr="008E062A" w14:paraId="2AA91978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732B6A" w14:paraId="1BBCC773" w14:textId="6466A7C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929D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Present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732B6A" w14:paraId="343C4D1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Pr="001929D2" w:rsidR="00732B6A" w:rsidP="0071762D" w:rsidRDefault="00732B6A" w14:paraId="086520D4" w14:textId="5E1AF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29D2" w:rsidR="00732B6A" w:rsidTr="008E062A" w14:paraId="50591FD7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732B6A" w14:paraId="600A19E0" w14:textId="6CF2ABBA">
            <w:pPr>
              <w:rPr>
                <w:rFonts w:ascii="Arial" w:hAnsi="Arial" w:cs="Arial"/>
                <w:sz w:val="20"/>
                <w:szCs w:val="20"/>
              </w:rPr>
            </w:pPr>
            <w:r w:rsidRPr="001929D2">
              <w:rPr>
                <w:rFonts w:ascii="Arial" w:hAnsi="Arial" w:cs="Arial"/>
                <w:sz w:val="20"/>
                <w:szCs w:val="20"/>
              </w:rPr>
              <w:t>Jonathan Lewis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732B6A" w14:paraId="7E8F8528" w14:textId="51CD0724">
            <w:pPr>
              <w:rPr>
                <w:rFonts w:ascii="Arial" w:hAnsi="Arial" w:cs="Arial"/>
                <w:sz w:val="20"/>
                <w:szCs w:val="20"/>
              </w:rPr>
            </w:pPr>
            <w:r w:rsidRPr="001929D2">
              <w:rPr>
                <w:rFonts w:ascii="Arial" w:hAnsi="Arial" w:cs="Arial"/>
                <w:sz w:val="20"/>
                <w:szCs w:val="20"/>
              </w:rPr>
              <w:t>Service Director: Education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2243AF" w14:paraId="62F4471D" w14:textId="293E09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Peterborough City Council</w:t>
            </w:r>
          </w:p>
        </w:tc>
      </w:tr>
      <w:tr w:rsidRPr="001929D2" w:rsidR="00732B6A" w:rsidTr="008E062A" w14:paraId="4BEFC7CF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732B6A" w14:paraId="06276210" w14:textId="563442CB">
            <w:pPr>
              <w:rPr>
                <w:rFonts w:ascii="Arial" w:hAnsi="Arial" w:cs="Arial"/>
                <w:sz w:val="20"/>
                <w:szCs w:val="20"/>
              </w:rPr>
            </w:pPr>
            <w:r w:rsidRPr="001929D2">
              <w:rPr>
                <w:rFonts w:ascii="Arial" w:hAnsi="Arial" w:cs="Arial"/>
                <w:sz w:val="20"/>
                <w:szCs w:val="20"/>
              </w:rPr>
              <w:t>Mark Woods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732B6A" w14:paraId="2FE9A2F5" w14:textId="26CCA671">
            <w:pPr>
              <w:rPr>
                <w:rFonts w:ascii="Arial" w:hAnsi="Arial" w:cs="Arial"/>
                <w:sz w:val="20"/>
                <w:szCs w:val="20"/>
              </w:rPr>
            </w:pPr>
            <w:r w:rsidRPr="001929D2">
              <w:rPr>
                <w:rFonts w:ascii="Arial" w:hAnsi="Arial" w:cs="Arial"/>
                <w:sz w:val="20"/>
                <w:szCs w:val="20"/>
              </w:rPr>
              <w:t>CEO Cambridge Meridian Academy Trust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Chair of Peterborough Schools Forum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732B6A" w14:paraId="42953348" w14:textId="124AD149">
            <w:pPr>
              <w:rPr>
                <w:rFonts w:ascii="Arial" w:hAnsi="Arial" w:cs="Arial"/>
                <w:sz w:val="20"/>
                <w:szCs w:val="20"/>
              </w:rPr>
            </w:pPr>
            <w:r w:rsidRPr="001929D2">
              <w:rPr>
                <w:rFonts w:ascii="Arial" w:hAnsi="Arial" w:cs="Arial"/>
                <w:sz w:val="20"/>
                <w:szCs w:val="20"/>
              </w:rPr>
              <w:t>Chair &amp; Primary/ Secondary Academy Representative</w:t>
            </w:r>
          </w:p>
          <w:p w:rsidRPr="001929D2" w:rsidR="00732B6A" w:rsidP="0071762D" w:rsidRDefault="00732B6A" w14:paraId="311D4BC0" w14:textId="5ECEE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29D2" w:rsidR="00732B6A" w:rsidTr="008E062A" w14:paraId="50E626B8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196DAD" w14:paraId="7A16773D" w14:textId="22EC2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Cllr Lynne Ayres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2243AF" w14:paraId="4AE94609" w14:textId="5631C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Cabinet Member for Education, Skills and the University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2243AF" w14:paraId="7230B03E" w14:textId="2EFDB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Observer</w:t>
            </w:r>
          </w:p>
        </w:tc>
      </w:tr>
      <w:tr w:rsidRPr="001929D2" w:rsidR="00732B6A" w:rsidTr="008E062A" w14:paraId="2D3861BA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196DAD" w14:paraId="676E528F" w14:textId="61AF5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Wade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2243AF" w14:paraId="0E622F17" w14:textId="20125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Finance business Partner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2243AF" w14:paraId="67B5317C" w14:textId="4263E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Cambridgeshire County Council</w:t>
            </w:r>
          </w:p>
        </w:tc>
      </w:tr>
      <w:tr w:rsidRPr="001929D2" w:rsidR="00732B6A" w:rsidTr="008E062A" w14:paraId="72F64BB3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196DAD" w14:paraId="2D2F9504" w14:textId="09DB1F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Helen Price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243487" w14:paraId="15747F17" w14:textId="18C20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Hampton Academies Trust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732B6A" w14:paraId="313C5785" w14:textId="294061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29D2" w:rsidR="00732B6A" w:rsidTr="008E062A" w14:paraId="33EE259B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196DAD" w14:paraId="3B300DC9" w14:textId="24652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Rachel Davies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2243AF" w14:paraId="3D8DAD10" w14:textId="11C792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 Head of School and Setting Finance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2243AF" w14:paraId="7F351EDE" w14:textId="0A1712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Peterborough City Council</w:t>
            </w:r>
          </w:p>
        </w:tc>
      </w:tr>
      <w:tr w:rsidRPr="001929D2" w:rsidR="00732B6A" w:rsidTr="008E062A" w14:paraId="2776B052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196DAD" w14:paraId="6F7E0489" w14:textId="420D4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Stuart Mansell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2243AF" w14:paraId="5080E1F9" w14:textId="592931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CEO OWN Trust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2243AF" w14:paraId="7B69DE00" w14:textId="56BBA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Representative</w:t>
            </w:r>
          </w:p>
        </w:tc>
      </w:tr>
      <w:tr w:rsidRPr="001929D2" w:rsidR="00732B6A" w:rsidTr="008E062A" w14:paraId="7EA934EA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196DAD" w14:paraId="421F9226" w14:textId="1A10C4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Younis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2243AF" w14:paraId="503684DC" w14:textId="04FD3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Stars Day Nursery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2243AF" w14:paraId="5693C995" w14:textId="2EA9D2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Non-schools Member</w:t>
            </w:r>
          </w:p>
        </w:tc>
      </w:tr>
      <w:tr w:rsidRPr="001929D2" w:rsidR="00732B6A" w:rsidTr="008E062A" w14:paraId="1A5E3E3D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196DAD" w14:paraId="77EA26C9" w14:textId="413C8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Jude Macdonald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2243AF" w14:paraId="6CDEE474" w14:textId="75F13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Marshfield Special School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2243AF" w14:paraId="3DEF24A9" w14:textId="3E83E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Maintained Special School Representative</w:t>
            </w:r>
          </w:p>
        </w:tc>
      </w:tr>
      <w:tr w:rsidRPr="001929D2" w:rsidR="00732B6A" w:rsidTr="008E062A" w14:paraId="37D06D3D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196DAD" w14:paraId="3A0FAFB2" w14:textId="4FA3AA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Debbie Hayes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2243AF" w14:paraId="06D41CE1" w14:textId="785B69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Caverstede Nursery School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2243AF" w14:paraId="126495B8" w14:textId="3D6CD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Maintained Nursery Representative</w:t>
            </w:r>
          </w:p>
        </w:tc>
      </w:tr>
      <w:tr w:rsidRPr="001929D2" w:rsidR="00732B6A" w:rsidTr="008E062A" w14:paraId="32C1520F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196DAD" w14:paraId="59ED1CCB" w14:textId="5D771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Gilligan</w:t>
            </w:r>
          </w:p>
        </w:tc>
        <w:tc>
          <w:tcPr>
            <w:tcW w:w="3544" w:type="dxa"/>
            <w:vAlign w:val="center"/>
          </w:tcPr>
          <w:p w:rsidRPr="001929D2" w:rsidR="00732B6A" w:rsidP="0071762D" w:rsidRDefault="002243AF" w14:paraId="78767986" w14:textId="4EECDD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Hampton College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2243AF" w14:paraId="74210B74" w14:textId="0652B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Representative</w:t>
            </w:r>
          </w:p>
        </w:tc>
      </w:tr>
      <w:tr w:rsidRPr="001929D2" w:rsidR="00732B6A" w:rsidTr="008E062A" w14:paraId="30375DB7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32B6A" w:rsidP="0071762D" w:rsidRDefault="00196DAD" w14:paraId="6F387CF8" w14:textId="5956A1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Sheelagh Sullivan</w:t>
            </w:r>
          </w:p>
        </w:tc>
        <w:tc>
          <w:tcPr>
            <w:tcW w:w="3544" w:type="dxa"/>
            <w:vAlign w:val="center"/>
          </w:tcPr>
          <w:p w:rsidRPr="001929D2" w:rsidR="008157D6" w:rsidP="0071762D" w:rsidRDefault="002243AF" w14:paraId="651F189F" w14:textId="48F2DB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SENI Services</w:t>
            </w:r>
          </w:p>
        </w:tc>
        <w:tc>
          <w:tcPr>
            <w:tcW w:w="3690" w:type="dxa"/>
            <w:vAlign w:val="center"/>
          </w:tcPr>
          <w:p w:rsidRPr="001929D2" w:rsidR="00732B6A" w:rsidP="0071762D" w:rsidRDefault="002243AF" w14:paraId="75008691" w14:textId="54717F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Peterborough City Council</w:t>
            </w:r>
          </w:p>
        </w:tc>
      </w:tr>
      <w:tr w:rsidRPr="001929D2" w:rsidR="0071762D" w:rsidTr="008E062A" w14:paraId="53803BDA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1762D" w:rsidP="0071762D" w:rsidRDefault="004C296B" w14:paraId="7F5852FE" w14:textId="3C4C0F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Andy Lyons</w:t>
            </w:r>
          </w:p>
        </w:tc>
        <w:tc>
          <w:tcPr>
            <w:tcW w:w="3544" w:type="dxa"/>
            <w:vAlign w:val="center"/>
          </w:tcPr>
          <w:p w:rsidRPr="001929D2" w:rsidR="0071762D" w:rsidP="0071762D" w:rsidRDefault="00243487" w14:paraId="7A74CD49" w14:textId="2C971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Headteacher, Hampton Hargate Primary School</w:t>
            </w:r>
          </w:p>
        </w:tc>
        <w:tc>
          <w:tcPr>
            <w:tcW w:w="3690" w:type="dxa"/>
            <w:vAlign w:val="center"/>
          </w:tcPr>
          <w:p w:rsidRPr="001929D2" w:rsidR="0071762D" w:rsidP="0071762D" w:rsidRDefault="00243487" w14:paraId="6DF462D3" w14:textId="5FC43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Maintained Representative</w:t>
            </w:r>
          </w:p>
        </w:tc>
      </w:tr>
      <w:tr w:rsidRPr="001929D2" w:rsidR="0071762D" w:rsidTr="008E062A" w14:paraId="1D648E74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1762D" w:rsidP="0071762D" w:rsidRDefault="002D53AA" w14:paraId="321D7ADE" w14:textId="35D4D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Karen Hingston</w:t>
            </w:r>
          </w:p>
        </w:tc>
        <w:tc>
          <w:tcPr>
            <w:tcW w:w="3544" w:type="dxa"/>
            <w:vAlign w:val="center"/>
          </w:tcPr>
          <w:p w:rsidRPr="001929D2" w:rsidR="0071762D" w:rsidP="0071762D" w:rsidRDefault="002243AF" w14:paraId="2FFF6699" w14:textId="6D428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Service Early Years and Childcare</w:t>
            </w:r>
          </w:p>
        </w:tc>
        <w:tc>
          <w:tcPr>
            <w:tcW w:w="3690" w:type="dxa"/>
            <w:vAlign w:val="center"/>
          </w:tcPr>
          <w:p w:rsidRPr="001929D2" w:rsidR="0071762D" w:rsidP="0071762D" w:rsidRDefault="002243AF" w14:paraId="740FCE26" w14:textId="2C08BC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Peterborough City Council </w:t>
            </w:r>
          </w:p>
        </w:tc>
      </w:tr>
      <w:tr w:rsidRPr="001929D2" w:rsidR="0071762D" w:rsidTr="008E062A" w14:paraId="4E80D69D" w14:textId="77777777">
        <w:trPr>
          <w:trHeight w:val="340"/>
        </w:trPr>
        <w:tc>
          <w:tcPr>
            <w:tcW w:w="1980" w:type="dxa"/>
            <w:vAlign w:val="center"/>
          </w:tcPr>
          <w:p w:rsidRPr="00CA378D" w:rsidR="0071762D" w:rsidP="0071762D" w:rsidRDefault="00373E66" w14:paraId="00B4D045" w14:textId="1CC57B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Lynne</w:t>
            </w:r>
            <w:r w:rsidR="002243AF">
              <w:rPr>
                <w:rFonts w:ascii="Arial" w:hAnsi="Arial" w:cs="Arial"/>
                <w:sz w:val="20"/>
                <w:szCs w:val="20"/>
              </w:rPr>
              <w:t xml:space="preserve"> Blythe</w:t>
            </w:r>
          </w:p>
        </w:tc>
        <w:tc>
          <w:tcPr>
            <w:tcW w:w="3544" w:type="dxa"/>
            <w:vAlign w:val="center"/>
          </w:tcPr>
          <w:p w:rsidRPr="001929D2" w:rsidR="0071762D" w:rsidP="0071762D" w:rsidRDefault="002243AF" w14:paraId="33A6A82E" w14:textId="58CF08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Day Nursery</w:t>
            </w:r>
          </w:p>
        </w:tc>
        <w:tc>
          <w:tcPr>
            <w:tcW w:w="3690" w:type="dxa"/>
            <w:vAlign w:val="center"/>
          </w:tcPr>
          <w:p w:rsidRPr="001929D2" w:rsidR="0071762D" w:rsidP="0071762D" w:rsidRDefault="002243AF" w14:paraId="1B8EC0A2" w14:textId="107AAB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Non-schools Member</w:t>
            </w:r>
          </w:p>
        </w:tc>
      </w:tr>
      <w:tr w:rsidRPr="001929D2" w:rsidR="0071762D" w:rsidTr="008E062A" w14:paraId="47AE0537" w14:textId="77777777">
        <w:trPr>
          <w:trHeight w:val="340"/>
        </w:trPr>
        <w:tc>
          <w:tcPr>
            <w:tcW w:w="1980" w:type="dxa"/>
            <w:vAlign w:val="center"/>
          </w:tcPr>
          <w:p w:rsidR="0071762D" w:rsidP="0071762D" w:rsidRDefault="0071762D" w14:paraId="0B8D683E" w14:textId="0FD8A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Sarah Burling</w:t>
            </w:r>
          </w:p>
        </w:tc>
        <w:tc>
          <w:tcPr>
            <w:tcW w:w="3544" w:type="dxa"/>
            <w:vAlign w:val="center"/>
          </w:tcPr>
          <w:p w:rsidRPr="001929D2" w:rsidR="0071762D" w:rsidP="0071762D" w:rsidRDefault="0071762D" w14:paraId="4AE4C1A7" w14:textId="3DF10B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 to Service Director: Education</w:t>
            </w:r>
          </w:p>
        </w:tc>
        <w:tc>
          <w:tcPr>
            <w:tcW w:w="3690" w:type="dxa"/>
            <w:vAlign w:val="center"/>
          </w:tcPr>
          <w:p w:rsidRPr="001929D2" w:rsidR="0071762D" w:rsidP="0071762D" w:rsidRDefault="0071762D" w14:paraId="44E6072C" w14:textId="0A15C0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29D2" w:rsidR="0071762D" w:rsidTr="008E062A" w14:paraId="56BB7BEB" w14:textId="77777777">
        <w:trPr>
          <w:trHeight w:val="340"/>
        </w:trPr>
        <w:tc>
          <w:tcPr>
            <w:tcW w:w="1980" w:type="dxa"/>
            <w:vAlign w:val="center"/>
          </w:tcPr>
          <w:p w:rsidR="0071762D" w:rsidP="0071762D" w:rsidRDefault="0071762D" w14:paraId="36CB6C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71762D" w:rsidP="0071762D" w:rsidRDefault="0071762D" w14:paraId="3513AF9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71762D" w:rsidP="0071762D" w:rsidRDefault="0071762D" w14:paraId="4F42F4F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929D2" w:rsidR="0071762D" w:rsidTr="008E062A" w14:paraId="604D94B7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1762D" w:rsidP="0071762D" w:rsidRDefault="0071762D" w14:paraId="268C9F91" w14:textId="72A9BE43">
            <w:pPr>
              <w:rPr>
                <w:rFonts w:ascii="Arial" w:hAnsi="Arial" w:cs="Arial"/>
                <w:sz w:val="20"/>
                <w:szCs w:val="20"/>
              </w:rPr>
            </w:pPr>
            <w:r w:rsidRPr="001929D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Apologies</w:t>
            </w:r>
          </w:p>
        </w:tc>
        <w:tc>
          <w:tcPr>
            <w:tcW w:w="3544" w:type="dxa"/>
            <w:vAlign w:val="center"/>
          </w:tcPr>
          <w:p w:rsidRPr="001929D2" w:rsidR="0071762D" w:rsidP="0071762D" w:rsidRDefault="0071762D" w14:paraId="7BD235CB" w14:textId="729E1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Pr="001929D2" w:rsidR="0071762D" w:rsidP="0071762D" w:rsidRDefault="0071762D" w14:paraId="4A66AED2" w14:textId="777C17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AF7667" w:rsidR="0071762D" w:rsidTr="008E062A" w14:paraId="491DC1EF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1762D" w:rsidP="0071762D" w:rsidRDefault="00672F1B" w14:paraId="77930EA1" w14:textId="0A6DB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Darren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Ayling</w:t>
            </w:r>
            <w:proofErr w:type="spellEnd"/>
          </w:p>
        </w:tc>
        <w:tc>
          <w:tcPr>
            <w:tcW w:w="3544" w:type="dxa"/>
            <w:vAlign w:val="center"/>
          </w:tcPr>
          <w:p w:rsidRPr="001929D2" w:rsidR="0071762D" w:rsidP="0071762D" w:rsidRDefault="002243AF" w14:paraId="5FA51FD6" w14:textId="48F01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Kings School</w:t>
            </w:r>
          </w:p>
        </w:tc>
        <w:tc>
          <w:tcPr>
            <w:tcW w:w="3690" w:type="dxa"/>
            <w:vAlign w:val="center"/>
          </w:tcPr>
          <w:p w:rsidRPr="008823ED" w:rsidR="0071762D" w:rsidP="0071762D" w:rsidRDefault="002243AF" w14:paraId="5CC33D91" w14:textId="09853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Diocese – CofE – Peterborough Representative</w:t>
            </w:r>
          </w:p>
        </w:tc>
      </w:tr>
      <w:tr w:rsidRPr="00AF7667" w:rsidR="0071762D" w:rsidTr="008E062A" w14:paraId="6DF0CFCA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71762D" w:rsidP="0071762D" w:rsidRDefault="00672F1B" w14:paraId="12673156" w14:textId="060C4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Gernon</w:t>
            </w:r>
            <w:proofErr w:type="spellEnd"/>
          </w:p>
        </w:tc>
        <w:tc>
          <w:tcPr>
            <w:tcW w:w="3544" w:type="dxa"/>
            <w:vAlign w:val="center"/>
          </w:tcPr>
          <w:p w:rsidRPr="001929D2" w:rsidR="0071762D" w:rsidP="0071762D" w:rsidRDefault="002243AF" w14:paraId="1BDC5A81" w14:textId="0FA2EB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Deacon Academy Trust</w:t>
            </w:r>
          </w:p>
        </w:tc>
        <w:tc>
          <w:tcPr>
            <w:tcW w:w="3690" w:type="dxa"/>
            <w:vAlign w:val="center"/>
          </w:tcPr>
          <w:p w:rsidRPr="001929D2" w:rsidR="0071762D" w:rsidP="0071762D" w:rsidRDefault="002243AF" w14:paraId="6F88CB6C" w14:textId="1E914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PRS Representative</w:t>
            </w:r>
          </w:p>
        </w:tc>
      </w:tr>
      <w:tr w:rsidRPr="00AF7667" w:rsidR="00672F1B" w:rsidTr="008E062A" w14:paraId="2B668298" w14:textId="77777777">
        <w:trPr>
          <w:trHeight w:val="340"/>
        </w:trPr>
        <w:tc>
          <w:tcPr>
            <w:tcW w:w="1980" w:type="dxa"/>
            <w:vAlign w:val="center"/>
          </w:tcPr>
          <w:p w:rsidRPr="001929D2" w:rsidR="00672F1B" w:rsidP="0071762D" w:rsidRDefault="00672F1B" w14:paraId="509DB1F5" w14:textId="2F12E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Susannah Connell</w:t>
            </w:r>
          </w:p>
        </w:tc>
        <w:tc>
          <w:tcPr>
            <w:tcW w:w="3544" w:type="dxa"/>
            <w:vAlign w:val="center"/>
          </w:tcPr>
          <w:p w:rsidRPr="001929D2" w:rsidR="00672F1B" w:rsidP="0071762D" w:rsidRDefault="002243AF" w14:paraId="4CC0DE71" w14:textId="743ECD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CEO The Diamond Learning Partnership and Peterborough Schools Forum Vice Chair</w:t>
            </w:r>
          </w:p>
        </w:tc>
        <w:tc>
          <w:tcPr>
            <w:tcW w:w="3690" w:type="dxa"/>
            <w:vAlign w:val="center"/>
          </w:tcPr>
          <w:p w:rsidRPr="001929D2" w:rsidR="00672F1B" w:rsidP="0071762D" w:rsidRDefault="002243AF" w14:paraId="1E22781C" w14:textId="271760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Representative</w:t>
            </w:r>
          </w:p>
        </w:tc>
      </w:tr>
      <w:tr w:rsidRPr="00AF7667" w:rsidR="00196DAD" w:rsidTr="008E062A" w14:paraId="2964C09D" w14:textId="77777777">
        <w:trPr>
          <w:trHeight w:val="340"/>
        </w:trPr>
        <w:tc>
          <w:tcPr>
            <w:tcW w:w="1980" w:type="dxa"/>
            <w:vAlign w:val="center"/>
          </w:tcPr>
          <w:p w:rsidR="00196DAD" w:rsidP="0071762D" w:rsidRDefault="00196DAD" w14:paraId="31D17DCA" w14:textId="7A219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Amanda Daoud</w:t>
            </w:r>
            <w:r w:rsidR="002434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3487" w:rsidR="00243487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243487" w:rsidR="00243487">
              <w:rPr>
                <w:rFonts w:ascii="Arial" w:hAnsi="Arial" w:cs="Arial"/>
                <w:i/>
                <w:iCs/>
                <w:sz w:val="20"/>
                <w:szCs w:val="20"/>
              </w:rPr>
              <w:t>Charlotte Whysall attending on behalf of</w:t>
            </w:r>
            <w:r w:rsidRPr="00243487" w:rsidR="00243487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544" w:type="dxa"/>
            <w:vAlign w:val="center"/>
          </w:tcPr>
          <w:p w:rsidRPr="001929D2" w:rsidR="00196DAD" w:rsidP="0071762D" w:rsidRDefault="00243487" w14:paraId="4CD36B73" w14:textId="121CF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Lime Trust</w:t>
            </w:r>
          </w:p>
        </w:tc>
        <w:tc>
          <w:tcPr>
            <w:tcW w:w="3690" w:type="dxa"/>
            <w:vAlign w:val="center"/>
          </w:tcPr>
          <w:p w:rsidRPr="001929D2" w:rsidR="00196DAD" w:rsidP="0071762D" w:rsidRDefault="00243487" w14:paraId="65CDF60A" w14:textId="4E301E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Representative</w:t>
            </w:r>
          </w:p>
        </w:tc>
      </w:tr>
    </w:tbl>
    <w:p w:rsidR="0033226D" w:rsidP="005A6E5B" w:rsidRDefault="0033226D" w14:paraId="36726ED6" w14:textId="1BD263D8">
      <w:pPr>
        <w:spacing w:line="360" w:lineRule="auto"/>
      </w:pPr>
    </w:p>
    <w:p w:rsidR="0033226D" w:rsidRDefault="0033226D" w14:paraId="714D0B0A" w14:textId="7777777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941"/>
      </w:tblGrid>
      <w:tr w:rsidRPr="00865403" w:rsidR="0033226D" w:rsidTr="00732B6A" w14:paraId="3EB07A32" w14:textId="77777777">
        <w:tc>
          <w:tcPr>
            <w:tcW w:w="562" w:type="dxa"/>
            <w:shd w:val="clear" w:color="auto" w:fill="D9D9D9" w:themeFill="background1" w:themeFillShade="D9"/>
          </w:tcPr>
          <w:p w:rsidRPr="00865403" w:rsidR="0033226D" w:rsidP="005A6E5B" w:rsidRDefault="0033226D" w14:paraId="33074C7F" w14:textId="2742F05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4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1.0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Pr="00865403" w:rsidR="0033226D" w:rsidP="005A6E5B" w:rsidRDefault="0033226D" w14:paraId="3A0E7F53" w14:textId="086ADE9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403">
              <w:rPr>
                <w:rFonts w:ascii="Arial" w:hAnsi="Arial" w:cs="Arial"/>
                <w:b/>
                <w:bCs/>
                <w:sz w:val="20"/>
                <w:szCs w:val="20"/>
              </w:rPr>
              <w:t>Apologies, declarations of interest and housekeeping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:rsidRPr="00865403" w:rsidR="0033226D" w:rsidP="00737DEA" w:rsidRDefault="0033226D" w14:paraId="59376F2A" w14:textId="604107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6540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Action</w:t>
            </w:r>
          </w:p>
        </w:tc>
      </w:tr>
      <w:tr w:rsidRPr="00865403" w:rsidR="0033226D" w:rsidTr="00732B6A" w14:paraId="6FEFF870" w14:textId="77777777">
        <w:tc>
          <w:tcPr>
            <w:tcW w:w="562" w:type="dxa"/>
          </w:tcPr>
          <w:p w:rsidRPr="00865403" w:rsidR="0033226D" w:rsidP="005A6E5B" w:rsidRDefault="0033226D" w14:paraId="134CA523" w14:textId="0A32CC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65403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7513" w:type="dxa"/>
          </w:tcPr>
          <w:p w:rsidR="00983F44" w:rsidP="00983F44" w:rsidRDefault="0031060E" w14:paraId="335427DF" w14:textId="58EC1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welcomed the group to the meeting.  Apologies were given as noted.</w:t>
            </w:r>
          </w:p>
          <w:p w:rsidRPr="00865403" w:rsidR="0031060E" w:rsidP="00983F44" w:rsidRDefault="0031060E" w14:paraId="7E67E270" w14:textId="51F15B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</w:tcPr>
          <w:p w:rsidRPr="00865403" w:rsidR="0033226D" w:rsidP="00737DEA" w:rsidRDefault="0033226D" w14:paraId="7266E1C3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865403" w:rsidR="0033226D" w:rsidTr="00732B6A" w14:paraId="23C840BB" w14:textId="77777777">
        <w:tc>
          <w:tcPr>
            <w:tcW w:w="562" w:type="dxa"/>
          </w:tcPr>
          <w:p w:rsidRPr="00865403" w:rsidR="0033226D" w:rsidP="005A6E5B" w:rsidRDefault="0033226D" w14:paraId="641AD19A" w14:textId="7C660CF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65403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7513" w:type="dxa"/>
          </w:tcPr>
          <w:p w:rsidRPr="00865403" w:rsidR="0033226D" w:rsidP="005A6E5B" w:rsidRDefault="0033226D" w14:paraId="73E7F6F4" w14:textId="5ADF65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65403">
              <w:rPr>
                <w:rFonts w:ascii="Arial" w:hAnsi="Arial" w:cs="Arial"/>
                <w:sz w:val="20"/>
                <w:szCs w:val="20"/>
              </w:rPr>
              <w:t>There were no declarations of interest.</w:t>
            </w:r>
          </w:p>
        </w:tc>
        <w:tc>
          <w:tcPr>
            <w:tcW w:w="941" w:type="dxa"/>
          </w:tcPr>
          <w:p w:rsidRPr="00865403" w:rsidR="0033226D" w:rsidP="00737DEA" w:rsidRDefault="0033226D" w14:paraId="24F9F211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865403" w:rsidR="0033226D" w:rsidTr="00732B6A" w14:paraId="5AD1B77C" w14:textId="77777777">
        <w:tc>
          <w:tcPr>
            <w:tcW w:w="562" w:type="dxa"/>
            <w:shd w:val="clear" w:color="auto" w:fill="D9D9D9" w:themeFill="background1" w:themeFillShade="D9"/>
          </w:tcPr>
          <w:p w:rsidRPr="00865403" w:rsidR="0033226D" w:rsidP="005A6E5B" w:rsidRDefault="0033226D" w14:paraId="5571CC5D" w14:textId="23CF69FC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403">
              <w:rPr>
                <w:rFonts w:ascii="Arial" w:hAnsi="Arial" w:cs="Arial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Pr="00865403" w:rsidR="0033226D" w:rsidP="005A6E5B" w:rsidRDefault="0033226D" w14:paraId="09B9E9C0" w14:textId="5D7803A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403">
              <w:rPr>
                <w:rFonts w:ascii="Arial" w:hAnsi="Arial" w:cs="Arial"/>
                <w:b/>
                <w:bCs/>
                <w:sz w:val="20"/>
                <w:szCs w:val="20"/>
              </w:rPr>
              <w:t>Minutes of the last meeting and matters arising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:rsidRPr="00865403" w:rsidR="0033226D" w:rsidP="00737DEA" w:rsidRDefault="0033226D" w14:paraId="3C4915AF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865403" w:rsidR="0033226D" w:rsidTr="00732B6A" w14:paraId="70DBF996" w14:textId="77777777">
        <w:tc>
          <w:tcPr>
            <w:tcW w:w="562" w:type="dxa"/>
          </w:tcPr>
          <w:p w:rsidRPr="00865403" w:rsidR="0033226D" w:rsidP="005A6E5B" w:rsidRDefault="006D4DB7" w14:paraId="747E9AEE" w14:textId="61BD06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65403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513" w:type="dxa"/>
          </w:tcPr>
          <w:p w:rsidR="00A1398E" w:rsidP="0033226D" w:rsidRDefault="00A1398E" w14:paraId="6B215F65" w14:textId="4D4E53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meeting for Headteachers around SEND Hubs is yet to be rescheduled</w:t>
            </w:r>
            <w:r w:rsidR="00196DAD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An appendix to the High Needs Block paper gives a detailed review of SEN Specialist Hub arrangements.</w:t>
            </w:r>
          </w:p>
          <w:p w:rsidR="00A1398E" w:rsidP="0033226D" w:rsidRDefault="00A1398E" w14:paraId="05895E9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96DAD" w:rsidP="0033226D" w:rsidRDefault="00A1398E" w14:paraId="699971EC" w14:textId="4A3937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Education and Skills Funding Agency</w:t>
            </w:r>
            <w:r w:rsidR="00196D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3680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196DAD">
              <w:rPr>
                <w:rFonts w:ascii="Arial" w:hAnsi="Arial" w:cs="Arial"/>
                <w:sz w:val="20"/>
                <w:szCs w:val="20"/>
              </w:rPr>
              <w:t>signed off school budgets.</w:t>
            </w:r>
          </w:p>
          <w:p w:rsidR="00196DAD" w:rsidP="0033226D" w:rsidRDefault="00196DAD" w14:paraId="2A0CEFA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96DAD" w:rsidP="0033226D" w:rsidRDefault="00196DAD" w14:paraId="675D6789" w14:textId="78550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 to speak to Clare B</w:t>
            </w:r>
            <w:r w:rsidR="00A1398E">
              <w:rPr>
                <w:rFonts w:ascii="Arial" w:hAnsi="Arial" w:cs="Arial"/>
                <w:sz w:val="20"/>
                <w:szCs w:val="20"/>
              </w:rPr>
              <w:t xml:space="preserve">uckingham about how the process and governance around </w:t>
            </w:r>
            <w:r>
              <w:rPr>
                <w:rFonts w:ascii="Arial" w:hAnsi="Arial" w:cs="Arial"/>
                <w:sz w:val="20"/>
                <w:szCs w:val="20"/>
              </w:rPr>
              <w:t>growth funding</w:t>
            </w:r>
            <w:r w:rsidR="00A1398E">
              <w:rPr>
                <w:rFonts w:ascii="Arial" w:hAnsi="Arial" w:cs="Arial"/>
                <w:sz w:val="20"/>
                <w:szCs w:val="20"/>
              </w:rPr>
              <w:t xml:space="preserve"> can be made more robust.</w:t>
            </w:r>
          </w:p>
          <w:p w:rsidR="00196DAD" w:rsidP="0033226D" w:rsidRDefault="00196DAD" w14:paraId="63F6C3B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96DAD" w:rsidP="0033226D" w:rsidRDefault="00463680" w14:paraId="68B9597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minutes of the last meeting were agreed.</w:t>
            </w:r>
          </w:p>
          <w:p w:rsidRPr="00CA378D" w:rsidR="00463680" w:rsidP="0033226D" w:rsidRDefault="00463680" w14:paraId="380A8B48" w14:textId="235401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</w:tcPr>
          <w:p w:rsidR="00737DEA" w:rsidP="00737DEA" w:rsidRDefault="00737DEA" w14:paraId="5717CF12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3680" w:rsidP="00737DEA" w:rsidRDefault="00463680" w14:paraId="24B1C20D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3680" w:rsidP="00737DEA" w:rsidRDefault="00463680" w14:paraId="6848BA01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3680" w:rsidP="00737DEA" w:rsidRDefault="00463680" w14:paraId="388100CD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3680" w:rsidP="00737DEA" w:rsidRDefault="00463680" w14:paraId="09B431D4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3680" w:rsidP="00737DEA" w:rsidRDefault="00463680" w14:paraId="48C1CFD3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63680" w:rsidP="00737DEA" w:rsidRDefault="00463680" w14:paraId="3D9F7538" w14:textId="0E4C23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MWa</w:t>
            </w:r>
            <w:proofErr w:type="spellEnd"/>
          </w:p>
          <w:p w:rsidRPr="00865403" w:rsidR="00463680" w:rsidP="00737DEA" w:rsidRDefault="00463680" w14:paraId="078E1583" w14:textId="4E4EB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865403" w:rsidR="0033226D" w:rsidTr="00732B6A" w14:paraId="24D6BF5C" w14:textId="77777777">
        <w:tc>
          <w:tcPr>
            <w:tcW w:w="562" w:type="dxa"/>
            <w:shd w:val="clear" w:color="auto" w:fill="D9D9D9" w:themeFill="background1" w:themeFillShade="D9"/>
          </w:tcPr>
          <w:p w:rsidRPr="00865403" w:rsidR="0033226D" w:rsidP="005A6E5B" w:rsidRDefault="006D4DB7" w14:paraId="3632B1A9" w14:textId="39D09CA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403">
              <w:rPr>
                <w:rFonts w:ascii="Arial" w:hAnsi="Arial" w:cs="Arial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Pr="00865403" w:rsidR="0033226D" w:rsidP="0033226D" w:rsidRDefault="008E062A" w14:paraId="51D67C08" w14:textId="01CC7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 Needs Block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:rsidRPr="00865403" w:rsidR="0033226D" w:rsidP="00737DEA" w:rsidRDefault="0033226D" w14:paraId="2C611E5E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865403" w:rsidR="006D4DB7" w:rsidTr="00732B6A" w14:paraId="566C7220" w14:textId="77777777">
        <w:tc>
          <w:tcPr>
            <w:tcW w:w="562" w:type="dxa"/>
          </w:tcPr>
          <w:p w:rsidRPr="00865403" w:rsidR="006D4DB7" w:rsidP="005A6E5B" w:rsidRDefault="006D4DB7" w14:paraId="15A94FDB" w14:textId="207B7D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65403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7513" w:type="dxa"/>
          </w:tcPr>
          <w:p w:rsidR="00CA3522" w:rsidP="008A31E0" w:rsidRDefault="00463680" w14:paraId="679733BB" w14:textId="17F49F6F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high needs block is set by the local authority but this item will share with schools, the proposal for allocation of the 2022-23 budget.</w:t>
            </w:r>
            <w:r w:rsidR="00196DA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96DAD" w:rsidP="008A31E0" w:rsidRDefault="00196DAD" w14:paraId="52FD8E63" w14:textId="77777777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A3EA0" w:rsidP="008A31E0" w:rsidRDefault="00463680" w14:paraId="4C97557B" w14:textId="77777777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Funding for high needs increased by </w:t>
            </w:r>
            <w:r w:rsidR="00196DAD">
              <w:rPr>
                <w:rFonts w:ascii="Arial" w:hAnsi="Arial" w:cs="Arial"/>
                <w:sz w:val="20"/>
                <w:szCs w:val="20"/>
              </w:rPr>
              <w:t xml:space="preserve">8.9%.  </w:t>
            </w:r>
            <w:r>
              <w:rPr>
                <w:rFonts w:ascii="Arial" w:hAnsi="Arial" w:cs="Arial"/>
                <w:sz w:val="20"/>
                <w:szCs w:val="20"/>
              </w:rPr>
              <w:t>Peterborough b</w:t>
            </w:r>
            <w:r w:rsidR="00196DAD">
              <w:rPr>
                <w:rFonts w:ascii="Arial" w:hAnsi="Arial" w:cs="Arial"/>
                <w:sz w:val="20"/>
                <w:szCs w:val="20"/>
              </w:rPr>
              <w:t>enefit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96DAD">
              <w:rPr>
                <w:rFonts w:ascii="Arial" w:hAnsi="Arial" w:cs="Arial"/>
                <w:sz w:val="20"/>
                <w:szCs w:val="20"/>
              </w:rPr>
              <w:t xml:space="preserve"> from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96DAD">
              <w:rPr>
                <w:rFonts w:ascii="Arial" w:hAnsi="Arial" w:cs="Arial"/>
                <w:sz w:val="20"/>
                <w:szCs w:val="20"/>
              </w:rPr>
              <w:t xml:space="preserve">distribution methodology that adds weight </w:t>
            </w:r>
            <w:r>
              <w:rPr>
                <w:rFonts w:ascii="Arial" w:hAnsi="Arial" w:cs="Arial"/>
                <w:sz w:val="20"/>
                <w:szCs w:val="20"/>
              </w:rPr>
              <w:t>linked to</w:t>
            </w:r>
            <w:r w:rsidR="00196DAD">
              <w:rPr>
                <w:rFonts w:ascii="Arial" w:hAnsi="Arial" w:cs="Arial"/>
                <w:sz w:val="20"/>
                <w:szCs w:val="20"/>
              </w:rPr>
              <w:t xml:space="preserve"> deprivation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increased pupil numbers.</w:t>
            </w:r>
            <w:r w:rsidR="002A3EA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The local authority is c</w:t>
            </w:r>
            <w:r w:rsidR="00196DAD">
              <w:rPr>
                <w:rFonts w:ascii="Arial" w:hAnsi="Arial" w:cs="Arial"/>
                <w:sz w:val="20"/>
                <w:szCs w:val="20"/>
              </w:rPr>
              <w:t xml:space="preserve">onscious of the </w:t>
            </w:r>
            <w:r w:rsidR="002A3EA0">
              <w:rPr>
                <w:rFonts w:ascii="Arial" w:hAnsi="Arial" w:cs="Arial"/>
                <w:sz w:val="20"/>
                <w:szCs w:val="20"/>
              </w:rPr>
              <w:t xml:space="preserve">growing </w:t>
            </w:r>
            <w:r w:rsidR="00196DAD">
              <w:rPr>
                <w:rFonts w:ascii="Arial" w:hAnsi="Arial" w:cs="Arial"/>
                <w:sz w:val="20"/>
                <w:szCs w:val="20"/>
              </w:rPr>
              <w:t xml:space="preserve">pressure in this area.  </w:t>
            </w:r>
          </w:p>
          <w:p w:rsidR="002A3EA0" w:rsidP="008A31E0" w:rsidRDefault="002A3EA0" w14:paraId="608D3930" w14:textId="77777777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96DAD" w:rsidP="008A31E0" w:rsidRDefault="002A3EA0" w14:paraId="6672369E" w14:textId="110CD7E9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Peterborough has received a further £1</w:t>
            </w:r>
            <w:r w:rsidR="00196DAD">
              <w:rPr>
                <w:rFonts w:ascii="Arial" w:hAnsi="Arial" w:cs="Arial"/>
                <w:sz w:val="20"/>
                <w:szCs w:val="20"/>
              </w:rPr>
              <w:t>.49 mill</w:t>
            </w:r>
            <w:r>
              <w:rPr>
                <w:rFonts w:ascii="Arial" w:hAnsi="Arial" w:cs="Arial"/>
                <w:sz w:val="20"/>
                <w:szCs w:val="20"/>
              </w:rPr>
              <w:t>ion</w:t>
            </w:r>
            <w:r w:rsidR="00196DAD">
              <w:rPr>
                <w:rFonts w:ascii="Arial" w:hAnsi="Arial" w:cs="Arial"/>
                <w:sz w:val="20"/>
                <w:szCs w:val="20"/>
              </w:rPr>
              <w:t xml:space="preserve"> supplementary </w:t>
            </w:r>
            <w:r>
              <w:rPr>
                <w:rFonts w:ascii="Arial" w:hAnsi="Arial" w:cs="Arial"/>
                <w:sz w:val="20"/>
                <w:szCs w:val="20"/>
              </w:rPr>
              <w:t>funding to support high needs</w:t>
            </w:r>
            <w:r w:rsidR="00196DAD">
              <w:rPr>
                <w:rFonts w:ascii="Arial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hAnsi="Arial" w:cs="Arial"/>
                <w:sz w:val="20"/>
                <w:szCs w:val="20"/>
              </w:rPr>
              <w:t>This take</w:t>
            </w:r>
            <w:r w:rsidR="00157DF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in to account the additional costs that were not foreseen when the original high needs block allocations were calculated.  </w:t>
            </w:r>
          </w:p>
          <w:p w:rsidR="00196DAD" w:rsidP="008A31E0" w:rsidRDefault="00196DAD" w14:paraId="447A199F" w14:textId="1B35B557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C296B" w:rsidP="008A31E0" w:rsidRDefault="00157DF9" w14:paraId="05861CDF" w14:textId="3DA16C39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Planned expenditure on i</w:t>
            </w:r>
            <w:r w:rsidR="004C296B">
              <w:rPr>
                <w:rFonts w:ascii="Arial" w:hAnsi="Arial" w:cs="Arial"/>
                <w:sz w:val="20"/>
                <w:szCs w:val="20"/>
              </w:rPr>
              <w:t xml:space="preserve">ndividual elements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 high needs block </w:t>
            </w:r>
            <w:r w:rsidR="004C296B">
              <w:rPr>
                <w:rFonts w:ascii="Arial" w:hAnsi="Arial" w:cs="Arial"/>
                <w:sz w:val="20"/>
                <w:szCs w:val="20"/>
              </w:rPr>
              <w:t xml:space="preserve">are detailed further in the </w:t>
            </w:r>
            <w:r>
              <w:rPr>
                <w:rFonts w:ascii="Arial" w:hAnsi="Arial" w:cs="Arial"/>
                <w:sz w:val="20"/>
                <w:szCs w:val="20"/>
              </w:rPr>
              <w:t>paper that accompanies this item</w:t>
            </w:r>
            <w:r w:rsidR="004C296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296B" w:rsidP="008A31E0" w:rsidRDefault="004C296B" w14:paraId="28276F4E" w14:textId="25592052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C296B" w:rsidP="008A31E0" w:rsidRDefault="00157DF9" w14:paraId="6739A475" w14:textId="39F1AE76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local authority c</w:t>
            </w:r>
            <w:r w:rsidR="004C296B">
              <w:rPr>
                <w:rFonts w:ascii="Arial" w:hAnsi="Arial" w:cs="Arial"/>
                <w:sz w:val="20"/>
                <w:szCs w:val="20"/>
              </w:rPr>
              <w:t>ontinue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C296B">
              <w:rPr>
                <w:rFonts w:ascii="Arial" w:hAnsi="Arial" w:cs="Arial"/>
                <w:sz w:val="20"/>
                <w:szCs w:val="20"/>
              </w:rPr>
              <w:t xml:space="preserve"> to invest in the Hub structure and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C296B">
              <w:rPr>
                <w:rFonts w:ascii="Arial" w:hAnsi="Arial" w:cs="Arial"/>
                <w:sz w:val="20"/>
                <w:szCs w:val="20"/>
              </w:rPr>
              <w:t>ppendix 1 addresses this in more detail.</w:t>
            </w:r>
          </w:p>
          <w:p w:rsidR="004C296B" w:rsidP="008A31E0" w:rsidRDefault="004C296B" w14:paraId="46089D28" w14:textId="4D0574D2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C296B" w:rsidP="008A31E0" w:rsidRDefault="00157DF9" w14:paraId="655F72FB" w14:textId="65A0D630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John Gilligan queried why t</w:t>
            </w:r>
            <w:r w:rsidR="004C296B">
              <w:rPr>
                <w:rFonts w:ascii="Arial" w:hAnsi="Arial" w:cs="Arial"/>
                <w:sz w:val="20"/>
                <w:szCs w:val="20"/>
              </w:rPr>
              <w:t xml:space="preserve">here are some Hubs with no filled places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r w:rsidR="004C296B">
              <w:rPr>
                <w:rFonts w:ascii="Arial" w:hAnsi="Arial" w:cs="Arial"/>
                <w:sz w:val="20"/>
                <w:szCs w:val="20"/>
              </w:rPr>
              <w:t xml:space="preserve"> are still receiving funding</w:t>
            </w:r>
            <w:r>
              <w:rPr>
                <w:rFonts w:ascii="Arial" w:hAnsi="Arial" w:cs="Arial"/>
                <w:sz w:val="20"/>
                <w:szCs w:val="20"/>
              </w:rPr>
              <w:t>.  The</w:t>
            </w:r>
            <w:r w:rsidR="004C296B">
              <w:rPr>
                <w:rFonts w:ascii="Arial" w:hAnsi="Arial" w:cs="Arial"/>
                <w:sz w:val="20"/>
                <w:szCs w:val="20"/>
              </w:rPr>
              <w:t xml:space="preserve"> Hub approach isn’t just about offering places it is about growing expertise and knowledge.  Hubs without places are working in partnership with the </w:t>
            </w:r>
            <w:r>
              <w:rPr>
                <w:rFonts w:ascii="Arial" w:hAnsi="Arial" w:cs="Arial"/>
                <w:sz w:val="20"/>
                <w:szCs w:val="20"/>
              </w:rPr>
              <w:t>local authority</w:t>
            </w:r>
            <w:r w:rsidR="004C296B">
              <w:rPr>
                <w:rFonts w:ascii="Arial" w:hAnsi="Arial" w:cs="Arial"/>
                <w:sz w:val="20"/>
                <w:szCs w:val="20"/>
              </w:rPr>
              <w:t xml:space="preserve"> to support schools with their area of specialism.  A kind of outreach.</w:t>
            </w:r>
          </w:p>
          <w:p w:rsidR="004C296B" w:rsidP="008A31E0" w:rsidRDefault="004C296B" w14:paraId="7BB31CCD" w14:textId="77777777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C296B" w:rsidP="008A31E0" w:rsidRDefault="004C296B" w14:paraId="425CEA34" w14:textId="7D6E8C9B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need to consider in the future </w:t>
            </w:r>
            <w:r w:rsidR="00157DF9">
              <w:rPr>
                <w:rFonts w:ascii="Arial" w:hAnsi="Arial" w:cs="Arial"/>
                <w:sz w:val="20"/>
                <w:szCs w:val="20"/>
              </w:rPr>
              <w:t>if</w:t>
            </w:r>
            <w:r>
              <w:rPr>
                <w:rFonts w:ascii="Arial" w:hAnsi="Arial" w:cs="Arial"/>
                <w:sz w:val="20"/>
                <w:szCs w:val="20"/>
              </w:rPr>
              <w:t xml:space="preserve"> more specialist provision is needed in the City.  </w:t>
            </w:r>
            <w:r w:rsidR="00157DF9">
              <w:rPr>
                <w:rFonts w:ascii="Arial" w:hAnsi="Arial" w:cs="Arial"/>
                <w:sz w:val="20"/>
                <w:szCs w:val="20"/>
              </w:rPr>
              <w:t>The n</w:t>
            </w:r>
            <w:r>
              <w:rPr>
                <w:rFonts w:ascii="Arial" w:hAnsi="Arial" w:cs="Arial"/>
                <w:sz w:val="20"/>
                <w:szCs w:val="20"/>
              </w:rPr>
              <w:t xml:space="preserve">umber of </w:t>
            </w:r>
            <w:r w:rsidR="002D53AA">
              <w:rPr>
                <w:rFonts w:ascii="Arial" w:hAnsi="Arial" w:cs="Arial"/>
                <w:sz w:val="20"/>
                <w:szCs w:val="20"/>
              </w:rPr>
              <w:t xml:space="preserve">funded </w:t>
            </w:r>
            <w:r>
              <w:rPr>
                <w:rFonts w:ascii="Arial" w:hAnsi="Arial" w:cs="Arial"/>
                <w:sz w:val="20"/>
                <w:szCs w:val="20"/>
              </w:rPr>
              <w:t>places at R</w:t>
            </w:r>
            <w:r w:rsidR="00157DF9">
              <w:rPr>
                <w:rFonts w:ascii="Arial" w:hAnsi="Arial" w:cs="Arial"/>
                <w:sz w:val="20"/>
                <w:szCs w:val="20"/>
              </w:rPr>
              <w:t>ichard Barnes Academy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been adjusted in line with agreed </w:t>
            </w:r>
            <w:r w:rsidR="002D53AA">
              <w:rPr>
                <w:rFonts w:ascii="Arial" w:hAnsi="Arial" w:cs="Arial"/>
                <w:sz w:val="20"/>
                <w:szCs w:val="20"/>
              </w:rPr>
              <w:t>commissioning arrangements.  This can be adjusted in the future if demand increases</w:t>
            </w:r>
            <w:r w:rsidR="00157DF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57DF9" w:rsidR="00157DF9">
              <w:rPr>
                <w:rFonts w:ascii="Arial" w:hAnsi="Arial" w:cs="Arial"/>
                <w:i/>
                <w:iCs/>
                <w:sz w:val="20"/>
                <w:szCs w:val="20"/>
              </w:rPr>
              <w:t>(note error in section 2.4 of accompanying paper – the £2.9m includes place funding for 170 until September, not 270</w:t>
            </w:r>
            <w:r w:rsidR="00157D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 stated</w:t>
            </w:r>
            <w:r w:rsidRPr="00157DF9" w:rsidR="00157DF9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157DF9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:rsidR="002D53AA" w:rsidP="008A31E0" w:rsidRDefault="002D53AA" w14:paraId="62779D8F" w14:textId="21E45A88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D53AA" w:rsidP="008A31E0" w:rsidRDefault="00157DF9" w14:paraId="6443FB22" w14:textId="066CB7F4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 pressure continues</w:t>
            </w:r>
            <w:r w:rsidR="002D53AA">
              <w:rPr>
                <w:rFonts w:ascii="Arial" w:hAnsi="Arial" w:cs="Arial"/>
                <w:sz w:val="20"/>
                <w:szCs w:val="20"/>
              </w:rPr>
              <w:t xml:space="preserve"> around Post 16 and independent </w:t>
            </w:r>
            <w:r>
              <w:rPr>
                <w:rFonts w:ascii="Arial" w:hAnsi="Arial" w:cs="Arial"/>
                <w:sz w:val="20"/>
                <w:szCs w:val="20"/>
              </w:rPr>
              <w:t>placement</w:t>
            </w:r>
            <w:r w:rsidR="002D53AA">
              <w:rPr>
                <w:rFonts w:ascii="Arial" w:hAnsi="Arial" w:cs="Arial"/>
                <w:sz w:val="20"/>
                <w:szCs w:val="20"/>
              </w:rPr>
              <w:t xml:space="preserve"> top up funding.  </w:t>
            </w:r>
            <w:r w:rsidR="007258D2">
              <w:rPr>
                <w:rFonts w:ascii="Arial" w:hAnsi="Arial" w:cs="Arial"/>
                <w:sz w:val="20"/>
                <w:szCs w:val="20"/>
              </w:rPr>
              <w:t>The w</w:t>
            </w:r>
            <w:r w:rsidR="002D53AA">
              <w:rPr>
                <w:rFonts w:ascii="Arial" w:hAnsi="Arial" w:cs="Arial"/>
                <w:sz w:val="20"/>
                <w:szCs w:val="20"/>
              </w:rPr>
              <w:t>ider offer is going to be a challenge going forward.</w:t>
            </w:r>
          </w:p>
          <w:p w:rsidR="002D53AA" w:rsidP="008A31E0" w:rsidRDefault="002D53AA" w14:paraId="201F0AA0" w14:textId="61E75B96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D53AA" w:rsidP="008A31E0" w:rsidRDefault="007258D2" w14:paraId="03B183EE" w14:textId="72AFEDA8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Out of City placements budget has been</w:t>
            </w:r>
            <w:r w:rsidR="002D53AA">
              <w:rPr>
                <w:rFonts w:ascii="Arial" w:hAnsi="Arial" w:cs="Arial"/>
                <w:sz w:val="20"/>
                <w:szCs w:val="20"/>
              </w:rPr>
              <w:t xml:space="preserve"> significantly increased </w:t>
            </w:r>
            <w:r>
              <w:rPr>
                <w:rFonts w:ascii="Arial" w:hAnsi="Arial" w:cs="Arial"/>
                <w:sz w:val="20"/>
                <w:szCs w:val="20"/>
              </w:rPr>
              <w:t>this year</w:t>
            </w:r>
            <w:r w:rsidR="002D53AA">
              <w:rPr>
                <w:rFonts w:ascii="Arial" w:hAnsi="Arial" w:cs="Arial"/>
                <w:sz w:val="20"/>
                <w:szCs w:val="20"/>
              </w:rPr>
              <w:t xml:space="preserve"> to reflect additional demand.</w:t>
            </w:r>
          </w:p>
          <w:p w:rsidR="004C296B" w:rsidP="008A31E0" w:rsidRDefault="004C296B" w14:paraId="3998AC2C" w14:textId="77777777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96DAD" w:rsidP="008A31E0" w:rsidRDefault="002D53AA" w14:paraId="506BB57C" w14:textId="18F5485F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Budgets will now be finalised and communicated to schools.</w:t>
            </w:r>
          </w:p>
          <w:p w:rsidR="002D53AA" w:rsidP="008A31E0" w:rsidRDefault="002D53AA" w14:paraId="14E62D6B" w14:textId="77777777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D53AA" w:rsidP="008A31E0" w:rsidRDefault="002D53AA" w14:paraId="612D9815" w14:textId="0CD2B49B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we continue to monitor the effectiveness of the Hubs?  When the SEN Green Paper is published </w:t>
            </w:r>
            <w:r w:rsidR="007258D2">
              <w:rPr>
                <w:rFonts w:ascii="Arial" w:hAnsi="Arial" w:cs="Arial"/>
                <w:sz w:val="20"/>
                <w:szCs w:val="20"/>
              </w:rPr>
              <w:t>it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be a good opportunity to </w:t>
            </w:r>
            <w:r w:rsidR="007258D2">
              <w:rPr>
                <w:rFonts w:ascii="Arial" w:hAnsi="Arial" w:cs="Arial"/>
                <w:sz w:val="20"/>
                <w:szCs w:val="20"/>
              </w:rPr>
              <w:t>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Hub provision</w:t>
            </w:r>
            <w:r w:rsidR="007258D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7258D2">
              <w:rPr>
                <w:rFonts w:ascii="Arial" w:hAnsi="Arial" w:cs="Arial"/>
                <w:sz w:val="20"/>
                <w:szCs w:val="20"/>
              </w:rPr>
              <w:lastRenderedPageBreak/>
              <w:t>consider plans for the future.  It was suggested that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031AC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5 outcomes</w:t>
            </w:r>
            <w:r w:rsidR="007258D2">
              <w:rPr>
                <w:rFonts w:ascii="Arial" w:hAnsi="Arial" w:cs="Arial"/>
                <w:sz w:val="20"/>
                <w:szCs w:val="20"/>
              </w:rPr>
              <w:t xml:space="preserve"> are developed </w:t>
            </w:r>
            <w:r>
              <w:rPr>
                <w:rFonts w:ascii="Arial" w:hAnsi="Arial" w:cs="Arial"/>
                <w:sz w:val="20"/>
                <w:szCs w:val="20"/>
              </w:rPr>
              <w:t xml:space="preserve">in conjunction with schools </w:t>
            </w:r>
            <w:r w:rsidR="00031ACB">
              <w:rPr>
                <w:rFonts w:ascii="Arial" w:hAnsi="Arial" w:cs="Arial"/>
                <w:sz w:val="20"/>
                <w:szCs w:val="20"/>
              </w:rPr>
              <w:t>for Hubs to evaluate against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Pr="00533255" w:rsidR="002D53AA" w:rsidP="008A31E0" w:rsidRDefault="002D53AA" w14:paraId="1B6931BE" w14:textId="106D6942">
            <w:pPr>
              <w:tabs>
                <w:tab w:val="left" w:pos="12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</w:tcPr>
          <w:p w:rsidRPr="00865403" w:rsidR="001A4F9D" w:rsidP="00737DEA" w:rsidRDefault="001A4F9D" w14:paraId="2DA60DCE" w14:textId="7006EC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865403" w:rsidR="00131D7F" w:rsidTr="00732B6A" w14:paraId="0AB81A5D" w14:textId="77777777">
        <w:tc>
          <w:tcPr>
            <w:tcW w:w="562" w:type="dxa"/>
            <w:shd w:val="clear" w:color="auto" w:fill="D9D9D9" w:themeFill="background1" w:themeFillShade="D9"/>
          </w:tcPr>
          <w:p w:rsidRPr="00865403" w:rsidR="00131D7F" w:rsidP="005A6E5B" w:rsidRDefault="00131D7F" w14:paraId="5E9451D1" w14:textId="4F1E2BD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403">
              <w:rPr>
                <w:rFonts w:ascii="Arial" w:hAnsi="Arial" w:cs="Arial"/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Pr="00865403" w:rsidR="00131D7F" w:rsidP="006D4DB7" w:rsidRDefault="008E062A" w14:paraId="7B13A56D" w14:textId="6E2000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Early Years Block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:rsidRPr="00865403" w:rsidR="00131D7F" w:rsidP="00737DEA" w:rsidRDefault="00131D7F" w14:paraId="3BBE3305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865403" w:rsidR="00131D7F" w:rsidTr="00732B6A" w14:paraId="015CCDC8" w14:textId="77777777">
        <w:tc>
          <w:tcPr>
            <w:tcW w:w="562" w:type="dxa"/>
          </w:tcPr>
          <w:p w:rsidRPr="00865403" w:rsidR="00131D7F" w:rsidP="005A6E5B" w:rsidRDefault="00131D7F" w14:paraId="6249DBEA" w14:textId="096BCF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65403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7513" w:type="dxa"/>
          </w:tcPr>
          <w:p w:rsidR="00425E96" w:rsidP="008A3B06" w:rsidRDefault="002D53AA" w14:paraId="13FC6ABB" w14:textId="375F3F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Jon introduced Karen Hingston, Head of E</w:t>
            </w:r>
            <w:r w:rsidR="00031ACB">
              <w:rPr>
                <w:rFonts w:ascii="Arial" w:hAnsi="Arial" w:cs="Arial"/>
                <w:sz w:val="20"/>
                <w:szCs w:val="20"/>
              </w:rPr>
              <w:t xml:space="preserve">arly Years and Childcare </w:t>
            </w:r>
            <w:r>
              <w:rPr>
                <w:rFonts w:ascii="Arial" w:hAnsi="Arial" w:cs="Arial"/>
                <w:sz w:val="20"/>
                <w:szCs w:val="20"/>
              </w:rPr>
              <w:t>who has joined for this agenda item.</w:t>
            </w:r>
          </w:p>
          <w:p w:rsidR="002D53AA" w:rsidP="008A3B06" w:rsidRDefault="002D53AA" w14:paraId="24BDE91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2D53AA" w:rsidP="008A3B06" w:rsidRDefault="00373E66" w14:paraId="5B915145" w14:textId="13EB59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Despite an increase in the hourly rate, the overall allocation for 2022/23 is </w:t>
            </w:r>
            <w:r w:rsidR="00031ACB">
              <w:rPr>
                <w:rFonts w:ascii="Arial" w:hAnsi="Arial" w:cs="Arial"/>
                <w:sz w:val="20"/>
                <w:szCs w:val="20"/>
              </w:rPr>
              <w:t>less than it was for 2021</w:t>
            </w:r>
            <w:r w:rsidR="00DD63EB">
              <w:rPr>
                <w:rFonts w:ascii="Arial" w:hAnsi="Arial" w:cs="Arial"/>
                <w:sz w:val="20"/>
                <w:szCs w:val="20"/>
              </w:rPr>
              <w:t>/</w:t>
            </w:r>
            <w:r w:rsidR="00031ACB">
              <w:rPr>
                <w:rFonts w:ascii="Arial" w:hAnsi="Arial" w:cs="Arial"/>
                <w:sz w:val="20"/>
                <w:szCs w:val="20"/>
              </w:rPr>
              <w:t>22</w:t>
            </w:r>
            <w:r w:rsidR="00DD63E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3E66" w:rsidP="008A3B06" w:rsidRDefault="00373E66" w14:paraId="507E0AC0" w14:textId="0E6F49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73E66" w:rsidP="00373E66" w:rsidRDefault="00031ACB" w14:paraId="5FD91D57" w14:textId="1F1866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373E66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>,000</w:t>
            </w:r>
            <w:r w:rsidR="00373E66">
              <w:rPr>
                <w:rFonts w:ascii="Arial" w:hAnsi="Arial" w:cs="Arial"/>
                <w:sz w:val="20"/>
                <w:szCs w:val="20"/>
              </w:rPr>
              <w:t xml:space="preserve"> has been allocated from the </w:t>
            </w:r>
            <w:r>
              <w:rPr>
                <w:rFonts w:ascii="Arial" w:hAnsi="Arial" w:cs="Arial"/>
                <w:sz w:val="20"/>
                <w:szCs w:val="20"/>
              </w:rPr>
              <w:t>high needs block</w:t>
            </w:r>
            <w:r w:rsidR="00373E66">
              <w:rPr>
                <w:rFonts w:ascii="Arial" w:hAnsi="Arial" w:cs="Arial"/>
                <w:sz w:val="20"/>
                <w:szCs w:val="20"/>
              </w:rPr>
              <w:t xml:space="preserve"> to passport to settings to ensure they are able to access adequate funding to effectively support the youngest children with SEND.  </w:t>
            </w:r>
            <w:r w:rsidR="00373E66">
              <w:rPr>
                <w:rFonts w:ascii="Arial" w:hAnsi="Arial" w:cs="Arial"/>
                <w:sz w:val="20"/>
                <w:szCs w:val="20"/>
              </w:rPr>
              <w:t xml:space="preserve">Needs of some of children are </w:t>
            </w:r>
            <w:r w:rsidR="00373E66">
              <w:rPr>
                <w:rFonts w:ascii="Arial" w:hAnsi="Arial" w:cs="Arial"/>
                <w:sz w:val="20"/>
                <w:szCs w:val="20"/>
              </w:rPr>
              <w:t xml:space="preserve">higher as they have not </w:t>
            </w:r>
            <w:r>
              <w:rPr>
                <w:rFonts w:ascii="Arial" w:hAnsi="Arial" w:cs="Arial"/>
                <w:sz w:val="20"/>
                <w:szCs w:val="20"/>
              </w:rPr>
              <w:t>been able to access the support they needed</w:t>
            </w:r>
            <w:r w:rsidR="00373E66">
              <w:rPr>
                <w:rFonts w:ascii="Arial" w:hAnsi="Arial" w:cs="Arial"/>
                <w:sz w:val="20"/>
                <w:szCs w:val="20"/>
              </w:rPr>
              <w:t xml:space="preserve"> during the pandemic.  SENI funding allocation is linked to funded </w:t>
            </w:r>
            <w:r>
              <w:rPr>
                <w:rFonts w:ascii="Arial" w:hAnsi="Arial" w:cs="Arial"/>
                <w:sz w:val="20"/>
                <w:szCs w:val="20"/>
              </w:rPr>
              <w:t>entitlement</w:t>
            </w:r>
            <w:r w:rsidR="00373E66">
              <w:rPr>
                <w:rFonts w:ascii="Arial" w:hAnsi="Arial" w:cs="Arial"/>
                <w:sz w:val="20"/>
                <w:szCs w:val="20"/>
              </w:rPr>
              <w:t>.  A new banding structure is being introduced from 1</w:t>
            </w:r>
            <w:r w:rsidRPr="00373E66" w:rsidR="00373E6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73E66">
              <w:rPr>
                <w:rFonts w:ascii="Arial" w:hAnsi="Arial" w:cs="Arial"/>
                <w:sz w:val="20"/>
                <w:szCs w:val="20"/>
              </w:rPr>
              <w:t xml:space="preserve"> April 2022.  </w:t>
            </w:r>
          </w:p>
          <w:p w:rsidR="00373E66" w:rsidP="008A3B06" w:rsidRDefault="00373E66" w14:paraId="2D609C18" w14:textId="641C1A64">
            <w:pPr>
              <w:rPr>
                <w:rFonts w:ascii="Arial" w:hAnsi="Arial" w:cs="Arial"/>
                <w:sz w:val="20"/>
                <w:szCs w:val="20"/>
              </w:rPr>
            </w:pPr>
          </w:p>
          <w:p w:rsidR="00373E66" w:rsidP="008A3B06" w:rsidRDefault="00031ACB" w14:paraId="3702FD29" w14:textId="25766B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contingency of £200,000 have been built in cover any adjustments to funding identified following the 2022 Census.  It also provides protection to mitigate </w:t>
            </w:r>
            <w:r w:rsidR="00DD63EB">
              <w:rPr>
                <w:rFonts w:ascii="Arial" w:hAnsi="Arial" w:cs="Arial"/>
                <w:sz w:val="20"/>
                <w:szCs w:val="20"/>
              </w:rPr>
              <w:t>circumstances that cannot be predicted but require additional funding.</w:t>
            </w:r>
          </w:p>
          <w:p w:rsidR="00373E66" w:rsidP="008A3B06" w:rsidRDefault="00373E66" w14:paraId="4F85E3F5" w14:textId="1D71F315">
            <w:pPr>
              <w:rPr>
                <w:rFonts w:ascii="Arial" w:hAnsi="Arial" w:cs="Arial"/>
                <w:sz w:val="20"/>
                <w:szCs w:val="20"/>
              </w:rPr>
            </w:pPr>
          </w:p>
          <w:p w:rsidR="00DD63EB" w:rsidP="008A3B06" w:rsidRDefault="009536E9" w14:paraId="73E2E29B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Schools Forum is asked to support the proposed hourly rates and funding allocation outlined in section 3.1 of the accompanying paper.  </w:t>
            </w:r>
          </w:p>
          <w:p w:rsidR="00DD63EB" w:rsidP="008A3B06" w:rsidRDefault="00DD63EB" w14:paraId="70C6BB3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73E66" w:rsidP="008A3B06" w:rsidRDefault="009536E9" w14:paraId="3787414C" w14:textId="621C3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Forum agreed.</w:t>
            </w:r>
          </w:p>
          <w:p w:rsidRPr="004B2DE1" w:rsidR="00373E66" w:rsidP="00373E66" w:rsidRDefault="00373E66" w14:paraId="46868B4E" w14:textId="02F712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</w:tcPr>
          <w:p w:rsidRPr="00865403" w:rsidR="004B2DE1" w:rsidP="00737DEA" w:rsidRDefault="004B2DE1" w14:paraId="329B0D5F" w14:textId="33F61F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865403" w:rsidR="00E8408C" w:rsidTr="00732B6A" w14:paraId="13486AE9" w14:textId="77777777">
        <w:tc>
          <w:tcPr>
            <w:tcW w:w="562" w:type="dxa"/>
            <w:shd w:val="clear" w:color="auto" w:fill="D9D9D9" w:themeFill="background1" w:themeFillShade="D9"/>
          </w:tcPr>
          <w:p w:rsidRPr="00865403" w:rsidR="00E8408C" w:rsidP="005A6E5B" w:rsidRDefault="009A115B" w14:paraId="2434E036" w14:textId="062F0A8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40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65403" w:rsidR="00E8408C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Pr="00865403" w:rsidR="00E8408C" w:rsidP="00E8408C" w:rsidRDefault="008E062A" w14:paraId="1B8A4A7E" w14:textId="7E5919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Constitution and Membership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:rsidRPr="00865403" w:rsidR="00E8408C" w:rsidP="00737DEA" w:rsidRDefault="00E8408C" w14:paraId="23587335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865403" w:rsidR="00E8408C" w:rsidTr="00732B6A" w14:paraId="7CA1A04B" w14:textId="77777777">
        <w:tc>
          <w:tcPr>
            <w:tcW w:w="562" w:type="dxa"/>
          </w:tcPr>
          <w:p w:rsidRPr="008E062A" w:rsidR="00E8408C" w:rsidP="005A6E5B" w:rsidRDefault="009A115B" w14:paraId="7F05C8DF" w14:textId="6E9D9E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E062A">
              <w:rPr>
                <w:rFonts w:ascii="Arial" w:hAnsi="Arial" w:cs="Arial"/>
                <w:sz w:val="20"/>
                <w:szCs w:val="20"/>
              </w:rPr>
              <w:t>5</w:t>
            </w:r>
            <w:r w:rsidRPr="008E062A" w:rsidR="00E8408C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7513" w:type="dxa"/>
          </w:tcPr>
          <w:p w:rsidR="00373E66" w:rsidP="00E8408C" w:rsidRDefault="00373E66" w14:paraId="1C793E49" w14:textId="598B11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Still have one vacancy </w:t>
            </w:r>
            <w:r w:rsidR="00DD63EB">
              <w:rPr>
                <w:rFonts w:ascii="Arial" w:hAnsi="Arial" w:cs="Arial"/>
                <w:sz w:val="20"/>
                <w:szCs w:val="20"/>
              </w:rPr>
              <w:t xml:space="preserve">for an </w:t>
            </w:r>
            <w:r>
              <w:rPr>
                <w:rFonts w:ascii="Arial" w:hAnsi="Arial" w:cs="Arial"/>
                <w:sz w:val="20"/>
                <w:szCs w:val="20"/>
              </w:rPr>
              <w:t>Academy sector</w:t>
            </w:r>
            <w:r w:rsidR="00DD63EB">
              <w:rPr>
                <w:rFonts w:ascii="Arial" w:hAnsi="Arial" w:cs="Arial"/>
                <w:sz w:val="20"/>
                <w:szCs w:val="20"/>
              </w:rPr>
              <w:t xml:space="preserve"> member.</w:t>
            </w:r>
          </w:p>
          <w:p w:rsidR="00373E66" w:rsidP="00E8408C" w:rsidRDefault="00373E66" w14:paraId="17ECAB0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373E66" w:rsidP="00E8408C" w:rsidRDefault="00DD63EB" w14:paraId="0605BFB2" w14:textId="14C4E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hopes that</w:t>
            </w:r>
            <w:r w:rsidR="00373E66">
              <w:rPr>
                <w:rFonts w:ascii="Arial" w:hAnsi="Arial" w:cs="Arial"/>
                <w:sz w:val="20"/>
                <w:szCs w:val="20"/>
              </w:rPr>
              <w:t xml:space="preserve"> the next meeting will be in person and will </w:t>
            </w:r>
            <w:r w:rsidR="005F7D3F">
              <w:rPr>
                <w:rFonts w:ascii="Arial" w:hAnsi="Arial" w:cs="Arial"/>
                <w:sz w:val="20"/>
                <w:szCs w:val="20"/>
              </w:rPr>
              <w:t>be able to better address any gaps in Membership then.</w:t>
            </w:r>
          </w:p>
          <w:p w:rsidR="00373E66" w:rsidP="00E8408C" w:rsidRDefault="00373E66" w14:paraId="48DB7C9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425E96" w:rsidP="00E8408C" w:rsidRDefault="00373E66" w14:paraId="0AC13206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PCEOs will consider</w:t>
            </w:r>
            <w:r w:rsidR="005F7D3F">
              <w:rPr>
                <w:rFonts w:ascii="Arial" w:hAnsi="Arial" w:cs="Arial"/>
                <w:sz w:val="20"/>
                <w:szCs w:val="20"/>
              </w:rPr>
              <w:t xml:space="preserve"> if there are any Trusts with a lot of schools in the City that aren’t represented on Schools Forum.</w:t>
            </w:r>
          </w:p>
          <w:p w:rsidRPr="004B2DE1" w:rsidR="005F7D3F" w:rsidP="00E8408C" w:rsidRDefault="005F7D3F" w14:paraId="1BF806A1" w14:textId="01E008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</w:tcPr>
          <w:p w:rsidRPr="00865403" w:rsidR="00E8408C" w:rsidP="00737DEA" w:rsidRDefault="00E8408C" w14:paraId="15230C75" w14:textId="483284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865403" w:rsidR="008E062A" w:rsidTr="00DD63EB" w14:paraId="13197621" w14:textId="77777777">
        <w:tc>
          <w:tcPr>
            <w:tcW w:w="562" w:type="dxa"/>
            <w:shd w:val="clear" w:color="auto" w:fill="D9D9D9" w:themeFill="background1" w:themeFillShade="D9"/>
          </w:tcPr>
          <w:p w:rsidRPr="008E062A" w:rsidR="008E062A" w:rsidP="008E062A" w:rsidRDefault="008E062A" w14:paraId="5D83DE21" w14:textId="2DFC67F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865403">
              <w:rPr>
                <w:rFonts w:ascii="Arial" w:hAnsi="Arial" w:cs="Arial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Pr="00DD63EB" w:rsidR="005F7D3F" w:rsidP="00DD63EB" w:rsidRDefault="008E062A" w14:paraId="26ED7773" w14:textId="699EA0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AOB</w:t>
            </w:r>
          </w:p>
        </w:tc>
        <w:tc>
          <w:tcPr>
            <w:tcW w:w="941" w:type="dxa"/>
            <w:shd w:val="clear" w:color="auto" w:fill="D9D9D9" w:themeFill="background1" w:themeFillShade="D9"/>
          </w:tcPr>
          <w:p w:rsidRPr="00865403" w:rsidR="008E062A" w:rsidP="008E062A" w:rsidRDefault="008E062A" w14:paraId="7F0C39FC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865403" w:rsidR="008E062A" w:rsidTr="00732B6A" w14:paraId="2425B0D9" w14:textId="77777777">
        <w:tc>
          <w:tcPr>
            <w:tcW w:w="562" w:type="dxa"/>
          </w:tcPr>
          <w:p w:rsidRPr="008E062A" w:rsidR="008E062A" w:rsidP="008E062A" w:rsidRDefault="008E062A" w14:paraId="07B7B189" w14:textId="4329F41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7513" w:type="dxa"/>
          </w:tcPr>
          <w:p w:rsidR="00DD63EB" w:rsidP="00DD63EB" w:rsidRDefault="00DD63EB" w14:paraId="7D4560C7" w14:textId="443A2D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be sending out meeting dates for the next academic year and they will follow a similar pattern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this year.</w:t>
            </w:r>
          </w:p>
          <w:p w:rsidRPr="004B2DE1" w:rsidR="008E062A" w:rsidP="008E062A" w:rsidRDefault="008E062A" w14:paraId="2D22990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</w:tcPr>
          <w:p w:rsidRPr="00865403" w:rsidR="008E062A" w:rsidP="008E062A" w:rsidRDefault="00DD63EB" w14:paraId="23558D97" w14:textId="49C0ABE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SB</w:t>
            </w:r>
          </w:p>
        </w:tc>
      </w:tr>
    </w:tbl>
    <w:p w:rsidRPr="005A6E5B" w:rsidR="005A6E5B" w:rsidP="005A6E5B" w:rsidRDefault="00CC21A2" w14:paraId="60A101E4" w14:textId="5C628D29">
      <w:pPr>
        <w:spacing w:line="360" w:lineRule="auto"/>
      </w:pPr>
      <w:r>
        <w:tab/>
      </w:r>
      <w:r>
        <w:tab/>
      </w:r>
    </w:p>
    <w:sectPr w:rsidRPr="005A6E5B" w:rsidR="005A6E5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C7B3" w14:textId="77777777" w:rsidR="005E0D90" w:rsidRDefault="005E0D90" w:rsidP="005A6E5B">
      <w:pPr>
        <w:spacing w:after="0" w:line="240" w:lineRule="auto"/>
      </w:pPr>
      <w:r>
        <w:separator/>
      </w:r>
    </w:p>
  </w:endnote>
  <w:endnote w:type="continuationSeparator" w:id="0">
    <w:p w14:paraId="7A88FCC5" w14:textId="77777777" w:rsidR="005E0D90" w:rsidRDefault="005E0D90" w:rsidP="005A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9430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15C941" w14:textId="26599E85" w:rsidR="005A6E5B" w:rsidRDefault="005A6E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CF66EF" w14:textId="77777777" w:rsidR="005A6E5B" w:rsidRDefault="005A6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2118" w14:textId="77777777" w:rsidR="005E0D90" w:rsidRDefault="005E0D90" w:rsidP="005A6E5B">
      <w:pPr>
        <w:spacing w:after="0" w:line="240" w:lineRule="auto"/>
      </w:pPr>
      <w:r>
        <w:separator/>
      </w:r>
    </w:p>
  </w:footnote>
  <w:footnote w:type="continuationSeparator" w:id="0">
    <w:p w14:paraId="42554D22" w14:textId="77777777" w:rsidR="005E0D90" w:rsidRDefault="005E0D90" w:rsidP="005A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4E50" w14:textId="2F8346C7" w:rsidR="005A6E5B" w:rsidRDefault="005A6E5B" w:rsidP="005A6E5B">
    <w:pPr>
      <w:pStyle w:val="Header"/>
      <w:jc w:val="right"/>
    </w:pPr>
    <w:r w:rsidRPr="005A6E5B">
      <w:rPr>
        <w:noProof/>
      </w:rPr>
      <w:drawing>
        <wp:inline distT="0" distB="0" distL="0" distR="0" wp14:anchorId="5A3EFB2F" wp14:editId="3D37316F">
          <wp:extent cx="2009775" cy="638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6X/4wpXdfDElP/" id="Xu3AsQRe"/>
    <int:WordHash hashCode="StwWm77PdcJQK3" id="HOnzd3Df"/>
    <int:WordHash hashCode="NQmjNebJV7gKRy" id="zP72XmpG"/>
    <int:WordHash hashCode="0lRkFwCgr4HEpx" id="LThzXeKu"/>
    <int:WordHash hashCode="4JISx9Pqp2n7z2" id="LtATXWLU"/>
    <int:WordHash hashCode="U7yWcOcjD3ZlOK" id="Dlkf2ATC"/>
  </int:Manifest>
  <int:Observations>
    <int:Content id="Xu3AsQRe">
      <int:Rejection type="AugLoop_Text_Critique"/>
    </int:Content>
    <int:Content id="HOnzd3Df">
      <int:Rejection type="AugLoop_Text_Critique"/>
    </int:Content>
    <int:Content id="zP72XmpG">
      <int:Rejection type="AugLoop_Text_Critique"/>
    </int:Content>
    <int:Content id="LThzXeKu">
      <int:Rejection type="AugLoop_Text_Critique"/>
    </int:Content>
    <int:Content id="LtATXWLU">
      <int:Rejection type="AugLoop_Text_Critique"/>
    </int:Content>
    <int:Content id="Dlkf2ATC">
      <int:Rejection type="AugLoop_Text_Critique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5B"/>
    <w:rsid w:val="00031ACB"/>
    <w:rsid w:val="000662C1"/>
    <w:rsid w:val="000F4B06"/>
    <w:rsid w:val="00121BA5"/>
    <w:rsid w:val="00131D7F"/>
    <w:rsid w:val="00136D7B"/>
    <w:rsid w:val="00157DF9"/>
    <w:rsid w:val="001929D2"/>
    <w:rsid w:val="00196DAD"/>
    <w:rsid w:val="001A0575"/>
    <w:rsid w:val="001A4F9D"/>
    <w:rsid w:val="001F62F3"/>
    <w:rsid w:val="002243AF"/>
    <w:rsid w:val="00226B11"/>
    <w:rsid w:val="00243487"/>
    <w:rsid w:val="0025258A"/>
    <w:rsid w:val="002947B5"/>
    <w:rsid w:val="002950A7"/>
    <w:rsid w:val="002A3EA0"/>
    <w:rsid w:val="002D53AA"/>
    <w:rsid w:val="002E4509"/>
    <w:rsid w:val="002F1102"/>
    <w:rsid w:val="0031060E"/>
    <w:rsid w:val="0033226D"/>
    <w:rsid w:val="00336B4A"/>
    <w:rsid w:val="003548BC"/>
    <w:rsid w:val="003548DD"/>
    <w:rsid w:val="00373E66"/>
    <w:rsid w:val="00374E6E"/>
    <w:rsid w:val="0038251E"/>
    <w:rsid w:val="00394169"/>
    <w:rsid w:val="003B6741"/>
    <w:rsid w:val="003D52EF"/>
    <w:rsid w:val="003F498F"/>
    <w:rsid w:val="00407628"/>
    <w:rsid w:val="00425E96"/>
    <w:rsid w:val="00426F95"/>
    <w:rsid w:val="00442379"/>
    <w:rsid w:val="00463680"/>
    <w:rsid w:val="00497682"/>
    <w:rsid w:val="004B2DE1"/>
    <w:rsid w:val="004C296B"/>
    <w:rsid w:val="004C7FA8"/>
    <w:rsid w:val="004E293A"/>
    <w:rsid w:val="0050773E"/>
    <w:rsid w:val="00533255"/>
    <w:rsid w:val="00570DF6"/>
    <w:rsid w:val="00594345"/>
    <w:rsid w:val="005A6E5B"/>
    <w:rsid w:val="005E0D90"/>
    <w:rsid w:val="005F7D3F"/>
    <w:rsid w:val="00607127"/>
    <w:rsid w:val="00625957"/>
    <w:rsid w:val="0062691C"/>
    <w:rsid w:val="00645C55"/>
    <w:rsid w:val="00672F1B"/>
    <w:rsid w:val="00685B44"/>
    <w:rsid w:val="006D4DB7"/>
    <w:rsid w:val="006D77FE"/>
    <w:rsid w:val="0071762D"/>
    <w:rsid w:val="007258D2"/>
    <w:rsid w:val="00732B6A"/>
    <w:rsid w:val="00737DEA"/>
    <w:rsid w:val="007421E1"/>
    <w:rsid w:val="00762A3D"/>
    <w:rsid w:val="00780485"/>
    <w:rsid w:val="007D78DA"/>
    <w:rsid w:val="007E5220"/>
    <w:rsid w:val="00811789"/>
    <w:rsid w:val="008157D6"/>
    <w:rsid w:val="008473B5"/>
    <w:rsid w:val="008552E0"/>
    <w:rsid w:val="00865403"/>
    <w:rsid w:val="00880497"/>
    <w:rsid w:val="008823ED"/>
    <w:rsid w:val="008A2DA4"/>
    <w:rsid w:val="008A31E0"/>
    <w:rsid w:val="008A3B06"/>
    <w:rsid w:val="008A42C1"/>
    <w:rsid w:val="008A6416"/>
    <w:rsid w:val="008C54F0"/>
    <w:rsid w:val="008E062A"/>
    <w:rsid w:val="00930BB8"/>
    <w:rsid w:val="00932007"/>
    <w:rsid w:val="00935C71"/>
    <w:rsid w:val="009536E9"/>
    <w:rsid w:val="009766DB"/>
    <w:rsid w:val="00983F44"/>
    <w:rsid w:val="009903EB"/>
    <w:rsid w:val="009A115B"/>
    <w:rsid w:val="00A1398E"/>
    <w:rsid w:val="00AD165F"/>
    <w:rsid w:val="00AF7667"/>
    <w:rsid w:val="00B7331F"/>
    <w:rsid w:val="00BD7BBE"/>
    <w:rsid w:val="00C07E7F"/>
    <w:rsid w:val="00C15106"/>
    <w:rsid w:val="00C2069C"/>
    <w:rsid w:val="00CA2D09"/>
    <w:rsid w:val="00CA3522"/>
    <w:rsid w:val="00CA378D"/>
    <w:rsid w:val="00CC21A2"/>
    <w:rsid w:val="00DB6141"/>
    <w:rsid w:val="00DD63EB"/>
    <w:rsid w:val="00DE00DC"/>
    <w:rsid w:val="00E8408C"/>
    <w:rsid w:val="00ED277B"/>
    <w:rsid w:val="00F07536"/>
    <w:rsid w:val="00F12B6C"/>
    <w:rsid w:val="00F4577D"/>
    <w:rsid w:val="00FF4154"/>
    <w:rsid w:val="0153EB19"/>
    <w:rsid w:val="087D584F"/>
    <w:rsid w:val="0D7AC38B"/>
    <w:rsid w:val="0F7A9D0D"/>
    <w:rsid w:val="2D3B7717"/>
    <w:rsid w:val="3915A913"/>
    <w:rsid w:val="3E8618E5"/>
    <w:rsid w:val="53251A49"/>
    <w:rsid w:val="5414FC84"/>
    <w:rsid w:val="5AB989EC"/>
    <w:rsid w:val="5E006D47"/>
    <w:rsid w:val="67C132D7"/>
    <w:rsid w:val="6AD79B3C"/>
    <w:rsid w:val="6CEBB7D1"/>
    <w:rsid w:val="77F9E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AD3F"/>
  <w15:chartTrackingRefBased/>
  <w15:docId w15:val="{2710C928-4CB0-4590-900F-9B743BD8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E5B"/>
  </w:style>
  <w:style w:type="paragraph" w:styleId="Footer">
    <w:name w:val="footer"/>
    <w:basedOn w:val="Normal"/>
    <w:link w:val="FooterChar"/>
    <w:uiPriority w:val="99"/>
    <w:unhideWhenUsed/>
    <w:rsid w:val="005A6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E5B"/>
  </w:style>
  <w:style w:type="paragraph" w:customStyle="1" w:styleId="Default">
    <w:name w:val="Default"/>
    <w:rsid w:val="005A6E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7D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0565b6b17600412a" Type="http://schemas.microsoft.com/office/2019/09/relationships/intelligence" Target="intelligenc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2) 220223 Peterborough Schools Forum_minutes</dc:title>
  <dc:subject>
  </dc:subject>
  <dc:creator>Burling Sarah</dc:creator>
  <cp:keywords>
  </cp:keywords>
  <dc:description>
  </dc:description>
  <cp:lastModifiedBy>Jonathan Lewis</cp:lastModifiedBy>
  <cp:revision>8</cp:revision>
  <cp:lastPrinted>2021-11-12T15:27:00Z</cp:lastPrinted>
  <dcterms:created xsi:type="dcterms:W3CDTF">2022-02-23T09:31:00Z</dcterms:created>
  <dcterms:modified xsi:type="dcterms:W3CDTF">2022-07-10T17:42:22Z</dcterms:modified>
</cp:coreProperties>
</file>